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8C715">
      <w:pPr>
        <w:jc w:val="center"/>
        <w:rPr>
          <w:rFonts w:ascii="仿宋_GB2312" w:eastAsia="仿宋_GB2312"/>
          <w:b/>
          <w:sz w:val="32"/>
          <w:szCs w:val="32"/>
        </w:rPr>
      </w:pPr>
    </w:p>
    <w:p w14:paraId="44B2471A">
      <w:pPr>
        <w:jc w:val="center"/>
        <w:rPr>
          <w:rFonts w:ascii="黑体" w:eastAsia="黑体"/>
          <w:sz w:val="72"/>
          <w:szCs w:val="72"/>
        </w:rPr>
      </w:pPr>
    </w:p>
    <w:p w14:paraId="7D83DFE3">
      <w:pPr>
        <w:jc w:val="center"/>
        <w:rPr>
          <w:rFonts w:ascii="黑体" w:eastAsia="黑体"/>
          <w:sz w:val="72"/>
          <w:szCs w:val="72"/>
        </w:rPr>
      </w:pPr>
    </w:p>
    <w:p w14:paraId="282A33D8">
      <w:pPr>
        <w:jc w:val="center"/>
        <w:rPr>
          <w:rFonts w:ascii="黑体" w:eastAsia="黑体"/>
          <w:sz w:val="72"/>
          <w:szCs w:val="72"/>
        </w:rPr>
      </w:pPr>
    </w:p>
    <w:p w14:paraId="6F246D4A">
      <w:pPr>
        <w:jc w:val="center"/>
        <w:rPr>
          <w:rFonts w:ascii="黑体" w:eastAsia="黑体"/>
          <w:sz w:val="72"/>
          <w:szCs w:val="72"/>
        </w:rPr>
      </w:pPr>
      <w:r>
        <w:rPr>
          <w:rFonts w:hint="eastAsia" w:ascii="黑体" w:eastAsia="黑体"/>
          <w:sz w:val="72"/>
          <w:szCs w:val="72"/>
        </w:rPr>
        <w:t>首都精神文明促进中心</w:t>
      </w:r>
    </w:p>
    <w:p w14:paraId="6D2D987F">
      <w:pPr>
        <w:jc w:val="center"/>
        <w:rPr>
          <w:rFonts w:ascii="黑体" w:eastAsia="黑体"/>
          <w:sz w:val="72"/>
          <w:szCs w:val="72"/>
        </w:rPr>
      </w:pPr>
      <w:r>
        <w:rPr>
          <w:rFonts w:hint="eastAsia" w:ascii="黑体" w:eastAsia="黑体"/>
          <w:sz w:val="72"/>
          <w:szCs w:val="72"/>
          <w:lang w:val="en-US" w:eastAsia="zh-CN"/>
        </w:rPr>
        <w:t xml:space="preserve"> </w:t>
      </w: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3E21EA2C">
      <w:pPr>
        <w:jc w:val="center"/>
        <w:rPr>
          <w:rFonts w:ascii="黑体" w:eastAsia="黑体"/>
          <w:sz w:val="52"/>
          <w:szCs w:val="52"/>
        </w:rPr>
      </w:pPr>
    </w:p>
    <w:p w14:paraId="7498E90F">
      <w:pPr>
        <w:jc w:val="center"/>
        <w:rPr>
          <w:rFonts w:ascii="黑体" w:eastAsia="黑体"/>
          <w:sz w:val="52"/>
          <w:szCs w:val="52"/>
        </w:rPr>
      </w:pPr>
    </w:p>
    <w:p w14:paraId="0C2865FE">
      <w:pPr>
        <w:jc w:val="center"/>
        <w:rPr>
          <w:rFonts w:ascii="黑体" w:eastAsia="黑体"/>
          <w:sz w:val="52"/>
          <w:szCs w:val="52"/>
        </w:rPr>
      </w:pPr>
    </w:p>
    <w:p w14:paraId="2EF9E064">
      <w:pPr>
        <w:jc w:val="center"/>
        <w:rPr>
          <w:rFonts w:ascii="黑体" w:eastAsia="黑体"/>
          <w:sz w:val="52"/>
          <w:szCs w:val="52"/>
        </w:rPr>
      </w:pPr>
    </w:p>
    <w:p w14:paraId="3D89A22C">
      <w:pPr>
        <w:jc w:val="center"/>
        <w:rPr>
          <w:rFonts w:ascii="黑体" w:eastAsia="黑体"/>
          <w:sz w:val="32"/>
          <w:szCs w:val="32"/>
        </w:rPr>
      </w:pPr>
    </w:p>
    <w:p w14:paraId="00490576">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7EB4962E">
      <w:pPr>
        <w:spacing w:line="500" w:lineRule="exact"/>
        <w:ind w:firstLine="645"/>
        <w:jc w:val="center"/>
        <w:rPr>
          <w:rFonts w:ascii="宋体" w:hAnsi="宋体" w:cs="宋体"/>
          <w:b/>
          <w:bCs/>
          <w:kern w:val="0"/>
          <w:sz w:val="36"/>
          <w:szCs w:val="36"/>
        </w:rPr>
      </w:pPr>
    </w:p>
    <w:p w14:paraId="2B7029B6">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w:t>
      </w:r>
      <w:r>
        <w:rPr>
          <w:rFonts w:hint="eastAsia" w:ascii="宋体" w:hAnsi="宋体" w:cs="宋体"/>
          <w:bCs/>
          <w:spacing w:val="40"/>
          <w:kern w:val="0"/>
          <w:sz w:val="32"/>
          <w:szCs w:val="32"/>
          <w:lang w:eastAsia="zh-CN"/>
        </w:rPr>
        <w:t>部门</w:t>
      </w:r>
      <w:r>
        <w:rPr>
          <w:rFonts w:hint="eastAsia" w:ascii="宋体" w:hAnsi="宋体" w:cs="宋体"/>
          <w:bCs/>
          <w:spacing w:val="40"/>
          <w:kern w:val="0"/>
          <w:sz w:val="32"/>
          <w:szCs w:val="32"/>
        </w:rPr>
        <w:t>决算报表</w:t>
      </w:r>
    </w:p>
    <w:p w14:paraId="28055C14">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495DEBF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4BCB1E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CC8BD7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2D62B8E1">
      <w:pPr>
        <w:tabs>
          <w:tab w:val="center" w:pos="6979"/>
        </w:tabs>
        <w:spacing w:line="500" w:lineRule="exact"/>
        <w:ind w:firstLine="2400" w:firstLineChars="600"/>
        <w:jc w:val="left"/>
        <w:rPr>
          <w:rFonts w:ascii="仿宋_GB2312" w:hAnsi="仿宋" w:eastAsia="仿宋_GB2312" w:cs="宋体"/>
          <w:bCs/>
          <w:color w:val="0000FF"/>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8E3DBA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3401D2E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七、政府性基金预算财政拨款收入支出决算表</w:t>
      </w:r>
    </w:p>
    <w:p w14:paraId="6269A0C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5A849BB3">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0709876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08BFE956">
      <w:pPr>
        <w:tabs>
          <w:tab w:val="center" w:pos="6979"/>
        </w:tabs>
        <w:spacing w:line="500" w:lineRule="exact"/>
        <w:ind w:firstLine="2400" w:firstLineChars="600"/>
        <w:jc w:val="left"/>
        <w:rPr>
          <w:rFonts w:ascii="仿宋_GB2312" w:hAnsi="仿宋" w:eastAsia="仿宋_GB2312" w:cs="宋体"/>
          <w:bCs/>
          <w:spacing w:val="40"/>
          <w:kern w:val="0"/>
          <w:sz w:val="32"/>
          <w:szCs w:val="32"/>
        </w:rPr>
      </w:pPr>
    </w:p>
    <w:p w14:paraId="557415F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177B1C2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7C40D271">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w:t>
      </w:r>
      <w:r>
        <w:rPr>
          <w:rFonts w:hint="eastAsia" w:ascii="宋体" w:hAnsi="宋体"/>
          <w:spacing w:val="40"/>
          <w:sz w:val="32"/>
          <w:szCs w:val="32"/>
          <w:lang w:eastAsia="zh-CN"/>
        </w:rPr>
        <w:t>部门</w:t>
      </w:r>
      <w:r>
        <w:rPr>
          <w:rFonts w:hint="eastAsia" w:ascii="宋体" w:hAnsi="宋体"/>
          <w:spacing w:val="40"/>
          <w:sz w:val="32"/>
          <w:szCs w:val="32"/>
        </w:rPr>
        <w:t>决算说明</w:t>
      </w:r>
    </w:p>
    <w:p w14:paraId="112DB778">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7AD10473">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w:t>
      </w:r>
      <w:r>
        <w:rPr>
          <w:rFonts w:hint="eastAsia" w:ascii="宋体" w:hAnsi="宋体" w:cs="宋体"/>
          <w:spacing w:val="40"/>
          <w:kern w:val="0"/>
          <w:sz w:val="32"/>
          <w:szCs w:val="32"/>
          <w:lang w:eastAsia="zh-CN"/>
        </w:rPr>
        <w:t>部门</w:t>
      </w:r>
      <w:r>
        <w:rPr>
          <w:rFonts w:hint="eastAsia" w:ascii="宋体" w:hAnsi="宋体" w:cs="宋体"/>
          <w:spacing w:val="40"/>
          <w:kern w:val="0"/>
          <w:sz w:val="32"/>
          <w:szCs w:val="32"/>
        </w:rPr>
        <w:t>绩效评价情况</w:t>
      </w:r>
    </w:p>
    <w:p w14:paraId="40481D55">
      <w:pPr>
        <w:tabs>
          <w:tab w:val="center" w:pos="6979"/>
        </w:tabs>
        <w:spacing w:before="156" w:beforeLines="50" w:after="156" w:afterLines="50"/>
        <w:jc w:val="center"/>
        <w:rPr>
          <w:rFonts w:ascii="宋体" w:hAnsi="宋体" w:cs="宋体"/>
          <w:b/>
          <w:bCs/>
          <w:spacing w:val="40"/>
          <w:kern w:val="0"/>
          <w:sz w:val="32"/>
          <w:szCs w:val="32"/>
        </w:rPr>
      </w:pPr>
    </w:p>
    <w:p w14:paraId="1F0D72B8">
      <w:pPr>
        <w:tabs>
          <w:tab w:val="center" w:pos="6979"/>
        </w:tabs>
        <w:spacing w:before="156" w:beforeLines="50" w:after="156" w:afterLines="50"/>
        <w:jc w:val="center"/>
        <w:rPr>
          <w:rFonts w:ascii="宋体" w:hAnsi="宋体" w:cs="宋体"/>
          <w:b/>
          <w:bCs/>
          <w:spacing w:val="40"/>
          <w:kern w:val="0"/>
          <w:sz w:val="32"/>
          <w:szCs w:val="32"/>
        </w:rPr>
      </w:pPr>
    </w:p>
    <w:p w14:paraId="3DFF3248">
      <w:pPr>
        <w:tabs>
          <w:tab w:val="center" w:pos="6979"/>
        </w:tabs>
        <w:spacing w:before="156" w:beforeLines="50" w:after="156" w:afterLines="50"/>
        <w:jc w:val="center"/>
        <w:rPr>
          <w:rFonts w:ascii="宋体" w:hAnsi="宋体" w:cs="宋体"/>
          <w:b/>
          <w:bCs/>
          <w:spacing w:val="40"/>
          <w:kern w:val="0"/>
          <w:sz w:val="32"/>
          <w:szCs w:val="32"/>
        </w:rPr>
      </w:pPr>
    </w:p>
    <w:p w14:paraId="043F013D">
      <w:pPr>
        <w:tabs>
          <w:tab w:val="center" w:pos="6979"/>
        </w:tabs>
        <w:spacing w:before="156" w:beforeLines="50" w:after="156" w:afterLines="50"/>
        <w:jc w:val="center"/>
        <w:rPr>
          <w:rFonts w:ascii="宋体" w:hAnsi="宋体" w:cs="宋体"/>
          <w:b/>
          <w:bCs/>
          <w:spacing w:val="40"/>
          <w:kern w:val="0"/>
          <w:sz w:val="32"/>
          <w:szCs w:val="32"/>
        </w:rPr>
      </w:pPr>
    </w:p>
    <w:p w14:paraId="6E00A861">
      <w:pPr>
        <w:tabs>
          <w:tab w:val="center" w:pos="6979"/>
        </w:tabs>
        <w:spacing w:before="156" w:beforeLines="50" w:after="156" w:afterLines="50"/>
        <w:jc w:val="center"/>
        <w:rPr>
          <w:rFonts w:ascii="宋体" w:hAnsi="宋体" w:cs="宋体"/>
          <w:b/>
          <w:bCs/>
          <w:spacing w:val="40"/>
          <w:kern w:val="0"/>
          <w:sz w:val="32"/>
          <w:szCs w:val="32"/>
        </w:rPr>
      </w:pPr>
    </w:p>
    <w:p w14:paraId="69E6725D">
      <w:pPr>
        <w:tabs>
          <w:tab w:val="center" w:pos="6979"/>
        </w:tabs>
        <w:spacing w:before="156" w:beforeLines="50" w:after="156" w:afterLines="50"/>
        <w:jc w:val="center"/>
        <w:rPr>
          <w:rFonts w:hint="eastAsia" w:ascii="宋体" w:hAnsi="宋体" w:cs="宋体"/>
          <w:b/>
          <w:bCs/>
          <w:spacing w:val="40"/>
          <w:kern w:val="0"/>
          <w:sz w:val="44"/>
          <w:szCs w:val="44"/>
        </w:rPr>
      </w:pPr>
    </w:p>
    <w:p w14:paraId="2D4812CB">
      <w:pPr>
        <w:tabs>
          <w:tab w:val="center" w:pos="6979"/>
        </w:tabs>
        <w:spacing w:before="156" w:beforeLines="50" w:after="156" w:afterLines="50"/>
        <w:jc w:val="center"/>
        <w:rPr>
          <w:rFonts w:hint="eastAsia" w:ascii="宋体" w:hAnsi="宋体" w:cs="宋体"/>
          <w:b/>
          <w:bCs/>
          <w:spacing w:val="40"/>
          <w:kern w:val="0"/>
          <w:sz w:val="44"/>
          <w:szCs w:val="44"/>
        </w:rPr>
      </w:pPr>
    </w:p>
    <w:p w14:paraId="78CD96A4">
      <w:pPr>
        <w:tabs>
          <w:tab w:val="center" w:pos="6979"/>
        </w:tabs>
        <w:spacing w:before="156" w:beforeLines="50" w:after="156" w:afterLines="50"/>
        <w:jc w:val="center"/>
        <w:rPr>
          <w:rFonts w:hint="eastAsia" w:ascii="宋体" w:hAnsi="宋体" w:cs="宋体"/>
          <w:b/>
          <w:bCs/>
          <w:spacing w:val="40"/>
          <w:kern w:val="0"/>
          <w:sz w:val="44"/>
          <w:szCs w:val="44"/>
        </w:rPr>
      </w:pPr>
    </w:p>
    <w:p w14:paraId="4FFF92CC">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w:t>
      </w:r>
      <w:r>
        <w:rPr>
          <w:rFonts w:hint="eastAsia" w:ascii="宋体" w:hAnsi="宋体" w:cs="宋体"/>
          <w:b/>
          <w:bCs/>
          <w:spacing w:val="40"/>
          <w:kern w:val="0"/>
          <w:sz w:val="44"/>
          <w:szCs w:val="44"/>
          <w:lang w:eastAsia="zh-CN"/>
        </w:rPr>
        <w:t>部门</w:t>
      </w:r>
      <w:r>
        <w:rPr>
          <w:rFonts w:hint="eastAsia" w:ascii="宋体" w:hAnsi="宋体" w:cs="宋体"/>
          <w:b/>
          <w:bCs/>
          <w:spacing w:val="40"/>
          <w:kern w:val="0"/>
          <w:sz w:val="44"/>
          <w:szCs w:val="44"/>
        </w:rPr>
        <w:t>决算报表</w:t>
      </w:r>
    </w:p>
    <w:p w14:paraId="61D58B49">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6D818522">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2024年度决算说明</w:t>
      </w:r>
    </w:p>
    <w:p w14:paraId="32104A0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42863A60">
      <w:pPr>
        <w:tabs>
          <w:tab w:val="center" w:pos="6979"/>
        </w:tabs>
        <w:spacing w:line="580" w:lineRule="exact"/>
        <w:ind w:firstLine="570"/>
        <w:rPr>
          <w:rFonts w:ascii="仿宋_GB2312" w:eastAsia="仿宋_GB2312"/>
          <w:sz w:val="28"/>
          <w:szCs w:val="28"/>
          <w:highlight w:val="none"/>
        </w:rPr>
      </w:pPr>
      <w:r>
        <w:rPr>
          <w:rFonts w:hint="eastAsia" w:ascii="仿宋_GB2312" w:eastAsia="仿宋_GB2312"/>
          <w:sz w:val="28"/>
          <w:szCs w:val="28"/>
          <w:highlight w:val="none"/>
        </w:rPr>
        <w:t>根据《中共北京市委机构编制委员会关于市委宣传部所属事业单位改革有关事项的批复》（京编委〔2021〕146号），组建首都精神文明促进中心，为中共北京市委宣传部所属正处级公益一类事业单位。主要职能是：承担首都精神文明宣传教育、公共文明引导、志愿服务等相关事务性工作。首都精神文明促进中心共3个内设机构，分别是综合管理科（志愿者服务科）、宣传教育科、公共文明指导科。无下属单位。</w:t>
      </w:r>
    </w:p>
    <w:p w14:paraId="0FEF0314">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53EFFA5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2736.03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减少148.81万元，下降5.16%。</w:t>
      </w:r>
    </w:p>
    <w:p w14:paraId="1F806A28">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235C1C4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2736.03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减少122.48万元，下降4.28%。</w:t>
      </w:r>
    </w:p>
    <w:p w14:paraId="1E185071">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2736.03</w:t>
      </w:r>
      <w:r>
        <w:rPr>
          <w:rFonts w:hint="eastAsia" w:ascii="仿宋_GB2312" w:eastAsia="仿宋_GB2312"/>
          <w:sz w:val="28"/>
          <w:szCs w:val="28"/>
        </w:rPr>
        <w:t>万元，占收入合计的100%。其中：一般公共预算财政拨款收入</w:t>
      </w:r>
      <w:r>
        <w:rPr>
          <w:rFonts w:ascii="仿宋_GB2312" w:eastAsia="仿宋_GB2312"/>
          <w:sz w:val="28"/>
          <w:szCs w:val="28"/>
        </w:rPr>
        <w:t>2736.03</w:t>
      </w:r>
      <w:r>
        <w:rPr>
          <w:rFonts w:hint="eastAsia" w:ascii="仿宋_GB2312" w:eastAsia="仿宋_GB2312"/>
          <w:sz w:val="28"/>
          <w:szCs w:val="28"/>
        </w:rPr>
        <w:t>万元，占收入合计的100%；政府性基金预算财政拨款收入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36025C8A">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24FC8DF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10B8553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242DDE5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6F0BA79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万元，占收入合计的0%。</w:t>
      </w:r>
    </w:p>
    <w:p w14:paraId="1D58DADA">
      <w:pPr>
        <w:pStyle w:val="2"/>
        <w:jc w:val="center"/>
      </w:pPr>
      <w:r>
        <w:rPr>
          <w:rFonts w:hint="eastAsia" w:ascii="仿宋_GB2312" w:eastAsia="仿宋_GB2312"/>
          <w:color w:val="000000"/>
          <w:sz w:val="32"/>
        </w:rPr>
        <w:t>图1：收入决算</w:t>
      </w:r>
    </w:p>
    <w:p w14:paraId="5822BCD8">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19AB4A0">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551E4A30">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2491.35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减少199.52万元，下降7.41%，其中：基本支出</w:t>
      </w:r>
      <w:r>
        <w:rPr>
          <w:rFonts w:ascii="仿宋_GB2312" w:eastAsia="仿宋_GB2312"/>
          <w:sz w:val="28"/>
          <w:szCs w:val="28"/>
        </w:rPr>
        <w:t>521.33</w:t>
      </w:r>
      <w:r>
        <w:rPr>
          <w:rFonts w:hint="eastAsia" w:ascii="仿宋_GB2312" w:eastAsia="仿宋_GB2312"/>
          <w:sz w:val="28"/>
          <w:szCs w:val="28"/>
        </w:rPr>
        <w:t>万元，占支出合计的20.93%；项目支出</w:t>
      </w:r>
      <w:r>
        <w:rPr>
          <w:rFonts w:ascii="仿宋_GB2312" w:eastAsia="仿宋_GB2312"/>
          <w:sz w:val="28"/>
          <w:szCs w:val="28"/>
        </w:rPr>
        <w:t>1970.02</w:t>
      </w:r>
      <w:r>
        <w:rPr>
          <w:rFonts w:hint="eastAsia" w:ascii="仿宋_GB2312" w:eastAsia="仿宋_GB2312"/>
          <w:sz w:val="28"/>
          <w:szCs w:val="28"/>
        </w:rPr>
        <w:t>万元，占支出合计的79.07%;上缴上级支出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3EDD6ACB">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0C9400C0">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158DC7">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5BA22CDC">
      <w:pPr>
        <w:tabs>
          <w:tab w:val="center" w:pos="6979"/>
        </w:tabs>
        <w:spacing w:line="580" w:lineRule="exact"/>
        <w:ind w:firstLine="570"/>
        <w:rPr>
          <w:rFonts w:ascii="仿宋_GB2312" w:eastAsia="仿宋_GB2312"/>
          <w:sz w:val="28"/>
          <w:szCs w:val="28"/>
          <w:highlight w:val="none"/>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2736.03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减少148.81万元，下降5.16%。</w:t>
      </w:r>
      <w:r>
        <w:rPr>
          <w:rFonts w:hint="eastAsia" w:ascii="仿宋_GB2312" w:eastAsia="仿宋_GB2312"/>
          <w:sz w:val="28"/>
          <w:szCs w:val="28"/>
          <w:highlight w:val="none"/>
        </w:rPr>
        <w:t>主要原因：严格落实政府过紧日子要求，厉行节约，压缩财政拨款支出。</w:t>
      </w:r>
    </w:p>
    <w:p w14:paraId="4EACD81A">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2F00C272">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306C00A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2491.35</w:t>
      </w:r>
      <w:r>
        <w:rPr>
          <w:rFonts w:hint="eastAsia" w:ascii="仿宋_GB2312" w:eastAsia="仿宋_GB2312"/>
          <w:sz w:val="28"/>
          <w:szCs w:val="28"/>
        </w:rPr>
        <w:t>万元，主要用于以下方面（按大类）：文化旅游体育与传媒支出2491.35万元，占本年财政拨款支出100%。</w:t>
      </w:r>
    </w:p>
    <w:p w14:paraId="1B51E533">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67204303">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“文化旅游体育与传媒支出”（类）2024年度</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2696.55万元，2024年</w:t>
      </w:r>
      <w:r>
        <w:rPr>
          <w:rFonts w:hint="eastAsia" w:ascii="仿宋_GB2312" w:eastAsia="仿宋_GB2312"/>
          <w:sz w:val="28"/>
          <w:szCs w:val="28"/>
          <w:lang w:eastAsia="zh-CN"/>
        </w:rPr>
        <w:t>度</w:t>
      </w:r>
      <w:r>
        <w:rPr>
          <w:rFonts w:hint="eastAsia" w:ascii="仿宋_GB2312" w:eastAsia="仿宋_GB2312"/>
          <w:sz w:val="28"/>
          <w:szCs w:val="28"/>
        </w:rPr>
        <w:t>决算2491.35万元，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92.39%。</w:t>
      </w:r>
      <w:r>
        <w:rPr>
          <w:rFonts w:hint="eastAsia" w:ascii="仿宋_GB2312" w:eastAsia="仿宋_GB2312"/>
          <w:sz w:val="28"/>
          <w:szCs w:val="28"/>
        </w:rPr>
        <w:t>其中：</w:t>
      </w:r>
    </w:p>
    <w:p w14:paraId="67DEC997">
      <w:pPr>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rPr>
        <w:t>“文化和旅游”（款）2024年</w:t>
      </w:r>
      <w:r>
        <w:rPr>
          <w:rFonts w:hint="eastAsia" w:ascii="仿宋_GB2312" w:eastAsia="仿宋_GB2312"/>
          <w:sz w:val="28"/>
          <w:szCs w:val="28"/>
          <w:lang w:eastAsia="zh-CN"/>
        </w:rPr>
        <w:t>初预算</w:t>
      </w:r>
      <w:r>
        <w:rPr>
          <w:rFonts w:hint="eastAsia" w:ascii="仿宋_GB2312" w:eastAsia="仿宋_GB2312"/>
          <w:sz w:val="28"/>
          <w:szCs w:val="28"/>
          <w:lang w:val="en-US" w:eastAsia="zh-CN"/>
        </w:rPr>
        <w:t>2696.55万元</w:t>
      </w:r>
      <w:r>
        <w:rPr>
          <w:rFonts w:hint="eastAsia" w:ascii="仿宋_GB2312" w:eastAsia="仿宋_GB2312"/>
          <w:sz w:val="28"/>
          <w:szCs w:val="28"/>
          <w:lang w:eastAsia="zh-CN"/>
        </w:rPr>
        <w:t>，</w:t>
      </w:r>
      <w:r>
        <w:rPr>
          <w:rFonts w:hint="eastAsia" w:ascii="仿宋_GB2312" w:eastAsia="仿宋_GB2312"/>
          <w:sz w:val="28"/>
          <w:szCs w:val="28"/>
          <w:lang w:val="en-US" w:eastAsia="zh-CN"/>
        </w:rPr>
        <w:t>2024年</w:t>
      </w:r>
      <w:r>
        <w:rPr>
          <w:rFonts w:hint="eastAsia" w:ascii="仿宋_GB2312" w:eastAsia="仿宋_GB2312"/>
          <w:sz w:val="28"/>
          <w:szCs w:val="28"/>
        </w:rPr>
        <w:t>度决算2491.35万元，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92.39%</w:t>
      </w:r>
      <w:r>
        <w:rPr>
          <w:rFonts w:hint="eastAsia" w:ascii="仿宋_GB2312" w:eastAsia="仿宋_GB2312"/>
          <w:sz w:val="28"/>
          <w:szCs w:val="28"/>
        </w:rPr>
        <w:t>。</w:t>
      </w:r>
      <w:r>
        <w:rPr>
          <w:rFonts w:hint="eastAsia" w:ascii="仿宋_GB2312" w:eastAsia="仿宋_GB2312"/>
          <w:sz w:val="28"/>
          <w:szCs w:val="28"/>
          <w:highlight w:val="none"/>
        </w:rPr>
        <w:t>主要原因：严格落实政府过紧日子要求，厉行节约，压缩一般性支出。</w:t>
      </w:r>
    </w:p>
    <w:p w14:paraId="0E770894">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312A3E4E">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1A6D0CD3">
      <w:pPr>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0</w:t>
      </w:r>
      <w:r>
        <w:rPr>
          <w:rFonts w:hint="eastAsia" w:ascii="仿宋_GB2312" w:eastAsia="仿宋_GB2312"/>
          <w:sz w:val="28"/>
          <w:szCs w:val="28"/>
        </w:rPr>
        <w:t>万元。</w:t>
      </w:r>
    </w:p>
    <w:p w14:paraId="3F16D14E">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33A44B1">
      <w:pPr>
        <w:ind w:firstLine="537" w:firstLineChars="192"/>
        <w:rPr>
          <w:rFonts w:ascii="仿宋_GB2312" w:eastAsia="仿宋_GB2312"/>
          <w:sz w:val="28"/>
          <w:szCs w:val="28"/>
        </w:rPr>
      </w:pPr>
      <w:r>
        <w:rPr>
          <w:rFonts w:hint="eastAsia" w:ascii="仿宋_GB2312" w:eastAsia="仿宋_GB2312"/>
          <w:sz w:val="28"/>
          <w:szCs w:val="28"/>
        </w:rPr>
        <w:t>2024年度国有资本经营预算财政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377D896A">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241C4646">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521.33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085E0B4C">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628FA9ED">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3751B5A5">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0</w:t>
      </w:r>
      <w:r>
        <w:rPr>
          <w:rFonts w:hint="eastAsia" w:ascii="仿宋_GB2312" w:eastAsia="仿宋_GB2312"/>
          <w:sz w:val="28"/>
          <w:szCs w:val="28"/>
        </w:rPr>
        <w:t>万元，比2024年度“三公”经费财政拨款年初预算</w:t>
      </w:r>
      <w:r>
        <w:rPr>
          <w:rFonts w:ascii="仿宋_GB2312" w:eastAsia="仿宋_GB2312"/>
          <w:sz w:val="28"/>
          <w:szCs w:val="28"/>
        </w:rPr>
        <w:t>0.18</w:t>
      </w:r>
      <w:r>
        <w:rPr>
          <w:rFonts w:hint="eastAsia" w:ascii="仿宋_GB2312" w:eastAsia="仿宋_GB2312"/>
          <w:sz w:val="28"/>
          <w:szCs w:val="28"/>
        </w:rPr>
        <w:t>万元减少</w:t>
      </w:r>
      <w:r>
        <w:rPr>
          <w:rFonts w:ascii="仿宋_GB2312" w:eastAsia="仿宋_GB2312"/>
          <w:sz w:val="28"/>
          <w:szCs w:val="28"/>
        </w:rPr>
        <w:t>0.18</w:t>
      </w:r>
      <w:r>
        <w:rPr>
          <w:rFonts w:hint="eastAsia" w:ascii="仿宋_GB2312" w:eastAsia="仿宋_GB2312"/>
          <w:sz w:val="28"/>
          <w:szCs w:val="28"/>
        </w:rPr>
        <w:t>万元。其中：</w:t>
      </w:r>
    </w:p>
    <w:p w14:paraId="2ABD2F51">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41CC4A2B">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0.18</w:t>
      </w:r>
      <w:r>
        <w:rPr>
          <w:rFonts w:hint="eastAsia" w:ascii="仿宋_GB2312" w:eastAsia="仿宋_GB2312"/>
          <w:sz w:val="28"/>
          <w:szCs w:val="28"/>
        </w:rPr>
        <w:t>万元减少</w:t>
      </w:r>
      <w:r>
        <w:rPr>
          <w:rFonts w:ascii="仿宋_GB2312" w:eastAsia="仿宋_GB2312"/>
          <w:sz w:val="28"/>
          <w:szCs w:val="28"/>
        </w:rPr>
        <w:t>0</w:t>
      </w:r>
      <w:r>
        <w:rPr>
          <w:rFonts w:hint="eastAsia" w:ascii="仿宋_GB2312" w:eastAsia="仿宋_GB2312"/>
          <w:sz w:val="28"/>
          <w:szCs w:val="28"/>
        </w:rPr>
        <w:t>.18万元。主要原因：认真落实中央和市委有关规定，厉行勤俭节约，进一步压缩公务接待费支出。</w:t>
      </w:r>
    </w:p>
    <w:p w14:paraId="6BCE5B96">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148C074B">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7BD2DC03">
      <w:pPr>
        <w:ind w:left="540"/>
        <w:rPr>
          <w:rFonts w:ascii="仿宋_GB2312" w:eastAsia="仿宋_GB2312"/>
          <w:sz w:val="28"/>
          <w:szCs w:val="28"/>
        </w:rPr>
      </w:pPr>
      <w:r>
        <w:rPr>
          <w:rFonts w:hint="eastAsia" w:ascii="仿宋_GB2312" w:eastAsia="仿宋_GB2312"/>
          <w:sz w:val="28"/>
          <w:szCs w:val="28"/>
        </w:rPr>
        <w:t>本单位不在机关运行经费统计范围内。</w:t>
      </w:r>
    </w:p>
    <w:p w14:paraId="29BE64C2">
      <w:pPr>
        <w:ind w:left="540"/>
        <w:rPr>
          <w:rFonts w:ascii="黑体" w:eastAsia="黑体"/>
          <w:sz w:val="28"/>
          <w:szCs w:val="28"/>
        </w:rPr>
      </w:pPr>
      <w:r>
        <w:rPr>
          <w:rFonts w:hint="eastAsia" w:ascii="黑体" w:eastAsia="黑体"/>
          <w:sz w:val="28"/>
          <w:szCs w:val="28"/>
        </w:rPr>
        <w:t>三、政府采购支出情况</w:t>
      </w:r>
    </w:p>
    <w:p w14:paraId="5DF43D50">
      <w:pPr>
        <w:ind w:firstLine="560" w:firstLineChars="200"/>
        <w:rPr>
          <w:rFonts w:ascii="仿宋_GB2312" w:eastAsia="仿宋_GB2312"/>
          <w:sz w:val="28"/>
          <w:szCs w:val="28"/>
          <w:highlight w:val="yellow"/>
        </w:rPr>
      </w:pPr>
      <w:r>
        <w:rPr>
          <w:rFonts w:hint="eastAsia" w:ascii="仿宋_GB2312" w:eastAsia="仿宋_GB2312"/>
          <w:sz w:val="28"/>
          <w:szCs w:val="28"/>
        </w:rPr>
        <w:t>2024年度政府采购支出总额</w:t>
      </w:r>
      <w:r>
        <w:rPr>
          <w:rFonts w:ascii="仿宋_GB2312" w:eastAsia="仿宋_GB2312"/>
          <w:sz w:val="28"/>
          <w:szCs w:val="28"/>
        </w:rPr>
        <w:t>2016.22</w:t>
      </w:r>
      <w:r>
        <w:rPr>
          <w:rFonts w:hint="eastAsia" w:ascii="仿宋_GB2312" w:eastAsia="仿宋_GB2312"/>
          <w:sz w:val="28"/>
          <w:szCs w:val="28"/>
        </w:rPr>
        <w:t>万元，其中：政府采购货物支出</w:t>
      </w:r>
      <w:r>
        <w:rPr>
          <w:rFonts w:ascii="仿宋_GB2312" w:eastAsia="仿宋_GB2312"/>
          <w:sz w:val="28"/>
          <w:szCs w:val="28"/>
        </w:rPr>
        <w:t>1246.26</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769.96</w:t>
      </w:r>
      <w:r>
        <w:rPr>
          <w:rFonts w:hint="eastAsia" w:ascii="仿宋_GB2312" w:eastAsia="仿宋_GB2312"/>
          <w:sz w:val="28"/>
          <w:szCs w:val="28"/>
        </w:rPr>
        <w:t>万元。授予中小企业合同金额</w:t>
      </w:r>
      <w:r>
        <w:rPr>
          <w:rFonts w:ascii="仿宋_GB2312" w:eastAsia="仿宋_GB2312"/>
          <w:sz w:val="28"/>
          <w:szCs w:val="28"/>
        </w:rPr>
        <w:t>1958.23</w:t>
      </w:r>
      <w:r>
        <w:rPr>
          <w:rFonts w:hint="eastAsia" w:ascii="仿宋_GB2312" w:eastAsia="仿宋_GB2312"/>
          <w:sz w:val="28"/>
          <w:szCs w:val="28"/>
        </w:rPr>
        <w:t>万元，占政府采购支出总额的97.12%，其中：授予小微企业合同金额1763.62万元，占政府采购支出总额的</w:t>
      </w:r>
      <w:r>
        <w:rPr>
          <w:rFonts w:ascii="仿宋_GB2312" w:eastAsia="仿宋_GB2312"/>
          <w:sz w:val="28"/>
          <w:szCs w:val="28"/>
        </w:rPr>
        <w:t>87.47</w:t>
      </w:r>
      <w:r>
        <w:rPr>
          <w:rFonts w:hint="eastAsia" w:ascii="仿宋_GB2312" w:eastAsia="仿宋_GB2312"/>
          <w:sz w:val="28"/>
          <w:szCs w:val="28"/>
        </w:rPr>
        <w:t>%。</w:t>
      </w:r>
    </w:p>
    <w:p w14:paraId="73E1BC73">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7BE2E591">
      <w:pPr>
        <w:ind w:firstLine="560" w:firstLineChars="200"/>
        <w:rPr>
          <w:rFonts w:ascii="仿宋_GB2312" w:eastAsia="仿宋_GB2312"/>
          <w:sz w:val="32"/>
          <w:szCs w:val="32"/>
        </w:rPr>
      </w:pPr>
      <w:r>
        <w:rPr>
          <w:rFonts w:hint="eastAsia" w:ascii="仿宋_GB2312" w:eastAsia="仿宋_GB2312"/>
          <w:sz w:val="28"/>
          <w:szCs w:val="28"/>
        </w:rPr>
        <w:t>截至12月31日，共有车辆0台；单位价值100万元（含）以上的设备0台（套）。</w:t>
      </w:r>
    </w:p>
    <w:p w14:paraId="78FDF307">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1A343FF7">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政府购买服务决算0</w:t>
      </w:r>
      <w:r>
        <w:rPr>
          <w:rFonts w:hint="eastAsia" w:ascii="仿宋_GB2312" w:eastAsia="仿宋_GB2312"/>
          <w:sz w:val="28"/>
          <w:szCs w:val="28"/>
        </w:rPr>
        <w:t>万元。</w:t>
      </w:r>
    </w:p>
    <w:p w14:paraId="5816BD71">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116DF802">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618A6481">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12BEE2DE">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3E1A73C">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0F42DF56">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444376C2">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3A2CA283">
      <w:pPr>
        <w:ind w:firstLine="420" w:firstLineChars="150"/>
        <w:rPr>
          <w:rFonts w:ascii="仿宋_GB2312" w:eastAsia="仿宋_GB2312"/>
          <w:sz w:val="28"/>
          <w:szCs w:val="28"/>
        </w:rPr>
      </w:pPr>
      <w:r>
        <w:rPr>
          <w:rFonts w:hint="eastAsia" w:ascii="仿宋_GB2312" w:eastAsia="仿宋_GB2312"/>
          <w:sz w:val="28"/>
          <w:szCs w:val="28"/>
        </w:rPr>
        <w:t>7.文化旅游体育与传媒支出（类）文化与旅游（款）文化活动（项）：反映举办大型文化艺术活动的支出。</w:t>
      </w:r>
    </w:p>
    <w:p w14:paraId="5683DF5C">
      <w:pPr>
        <w:rPr>
          <w:rFonts w:ascii="仿宋_GB2312" w:eastAsia="仿宋_GB2312"/>
          <w:sz w:val="28"/>
          <w:szCs w:val="28"/>
        </w:rPr>
      </w:pPr>
    </w:p>
    <w:p w14:paraId="08DF0874">
      <w:pPr>
        <w:ind w:firstLine="632" w:firstLineChars="200"/>
        <w:rPr>
          <w:rFonts w:ascii="仿宋_GB2312" w:eastAsia="仿宋_GB2312"/>
          <w:b/>
          <w:color w:val="000000"/>
          <w:spacing w:val="-2"/>
          <w:sz w:val="32"/>
          <w:szCs w:val="32"/>
        </w:rPr>
      </w:pPr>
    </w:p>
    <w:p w14:paraId="64FCB593">
      <w:pPr>
        <w:ind w:firstLine="640" w:firstLineChars="200"/>
        <w:jc w:val="center"/>
        <w:rPr>
          <w:rFonts w:ascii="黑体" w:eastAsia="黑体"/>
          <w:sz w:val="32"/>
          <w:szCs w:val="32"/>
        </w:rPr>
      </w:pPr>
    </w:p>
    <w:p w14:paraId="7E39C421">
      <w:pPr>
        <w:ind w:firstLine="640" w:firstLineChars="200"/>
        <w:jc w:val="center"/>
        <w:rPr>
          <w:rFonts w:ascii="黑体" w:eastAsia="黑体"/>
          <w:sz w:val="32"/>
          <w:szCs w:val="32"/>
        </w:rPr>
      </w:pPr>
    </w:p>
    <w:p w14:paraId="2E11BFE6">
      <w:pPr>
        <w:ind w:firstLine="640" w:firstLineChars="200"/>
        <w:jc w:val="center"/>
        <w:rPr>
          <w:rFonts w:hint="eastAsia" w:ascii="黑体" w:eastAsia="黑体"/>
          <w:sz w:val="32"/>
          <w:szCs w:val="32"/>
        </w:rPr>
      </w:pPr>
    </w:p>
    <w:p w14:paraId="2F94D3FA">
      <w:pPr>
        <w:ind w:firstLine="640" w:firstLineChars="200"/>
        <w:jc w:val="center"/>
        <w:rPr>
          <w:rFonts w:hint="eastAsia" w:ascii="黑体" w:eastAsia="黑体"/>
          <w:sz w:val="32"/>
          <w:szCs w:val="32"/>
        </w:rPr>
      </w:pPr>
    </w:p>
    <w:p w14:paraId="5F71EF61">
      <w:pPr>
        <w:ind w:firstLine="640" w:firstLineChars="200"/>
        <w:jc w:val="center"/>
        <w:rPr>
          <w:rFonts w:hint="eastAsia" w:ascii="黑体" w:eastAsia="黑体"/>
          <w:sz w:val="32"/>
          <w:szCs w:val="32"/>
        </w:rPr>
      </w:pPr>
    </w:p>
    <w:p w14:paraId="6188FD10">
      <w:pPr>
        <w:ind w:firstLine="640" w:firstLineChars="200"/>
        <w:jc w:val="center"/>
        <w:rPr>
          <w:rFonts w:hint="eastAsia" w:ascii="黑体" w:eastAsia="黑体"/>
          <w:sz w:val="32"/>
          <w:szCs w:val="32"/>
        </w:rPr>
      </w:pPr>
    </w:p>
    <w:p w14:paraId="1250253A">
      <w:pPr>
        <w:ind w:firstLine="640" w:firstLineChars="200"/>
        <w:jc w:val="center"/>
        <w:rPr>
          <w:rFonts w:hint="eastAsia" w:ascii="黑体" w:eastAsia="黑体"/>
          <w:sz w:val="32"/>
          <w:szCs w:val="32"/>
        </w:rPr>
      </w:pPr>
    </w:p>
    <w:p w14:paraId="4EEF791D">
      <w:pPr>
        <w:ind w:firstLine="640" w:firstLineChars="200"/>
        <w:jc w:val="center"/>
        <w:rPr>
          <w:rFonts w:hint="eastAsia" w:ascii="黑体" w:eastAsia="黑体"/>
          <w:sz w:val="32"/>
          <w:szCs w:val="32"/>
        </w:rPr>
      </w:pPr>
    </w:p>
    <w:p w14:paraId="79110BEA">
      <w:pPr>
        <w:ind w:firstLine="640" w:firstLineChars="200"/>
        <w:jc w:val="center"/>
        <w:rPr>
          <w:rFonts w:hint="eastAsia" w:ascii="黑体" w:eastAsia="黑体"/>
          <w:sz w:val="32"/>
          <w:szCs w:val="32"/>
        </w:rPr>
      </w:pPr>
    </w:p>
    <w:p w14:paraId="1A695D01">
      <w:pPr>
        <w:ind w:firstLine="640" w:firstLineChars="200"/>
        <w:jc w:val="center"/>
        <w:rPr>
          <w:rFonts w:hint="eastAsia" w:ascii="黑体" w:eastAsia="黑体"/>
          <w:sz w:val="32"/>
          <w:szCs w:val="32"/>
        </w:rPr>
      </w:pPr>
    </w:p>
    <w:p w14:paraId="4D54694E">
      <w:pPr>
        <w:ind w:firstLine="640" w:firstLineChars="200"/>
        <w:jc w:val="center"/>
        <w:rPr>
          <w:rFonts w:hint="eastAsia" w:ascii="黑体" w:eastAsia="黑体"/>
          <w:sz w:val="32"/>
          <w:szCs w:val="32"/>
        </w:rPr>
      </w:pPr>
    </w:p>
    <w:p w14:paraId="4FE6216D">
      <w:pPr>
        <w:ind w:firstLine="640" w:firstLineChars="200"/>
        <w:jc w:val="center"/>
        <w:rPr>
          <w:rFonts w:ascii="黑体" w:eastAsia="黑体"/>
          <w:sz w:val="32"/>
          <w:szCs w:val="32"/>
        </w:rPr>
      </w:pPr>
      <w:r>
        <w:rPr>
          <w:rFonts w:hint="eastAsia" w:ascii="黑体" w:eastAsia="黑体"/>
          <w:sz w:val="32"/>
          <w:szCs w:val="32"/>
        </w:rPr>
        <w:t>第四部分  2024年度绩效评价情况</w:t>
      </w:r>
    </w:p>
    <w:p w14:paraId="2BE8CED0">
      <w:pPr>
        <w:ind w:firstLine="560" w:firstLineChars="200"/>
        <w:rPr>
          <w:rFonts w:ascii="黑体" w:eastAsia="黑体"/>
          <w:sz w:val="28"/>
          <w:szCs w:val="28"/>
          <w:highlight w:val="yellow"/>
        </w:rPr>
      </w:pPr>
    </w:p>
    <w:p w14:paraId="2CB3A513">
      <w:pPr>
        <w:ind w:firstLine="280" w:firstLineChars="100"/>
        <w:rPr>
          <w:rFonts w:ascii="黑体" w:eastAsia="黑体"/>
          <w:sz w:val="28"/>
          <w:szCs w:val="28"/>
        </w:rPr>
      </w:pPr>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65163948">
      <w:pPr>
        <w:pStyle w:val="2"/>
        <w:ind w:firstLine="560"/>
      </w:pPr>
      <w:bookmarkStart w:id="0" w:name="_GoBack"/>
      <w:bookmarkEnd w:id="0"/>
    </w:p>
    <w:p w14:paraId="72868F75"/>
    <w:p w14:paraId="65955FC6">
      <w:pPr>
        <w:pStyle w:val="2"/>
      </w:pPr>
    </w:p>
    <w:p w14:paraId="4D0010D2"/>
    <w:p w14:paraId="54077C0E"/>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2002F">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1</w:t>
    </w:r>
    <w:r>
      <w:fldChar w:fldCharType="end"/>
    </w:r>
  </w:p>
  <w:p w14:paraId="0FD96D4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239F2">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4</w:t>
    </w:r>
    <w:r>
      <w:fldChar w:fldCharType="end"/>
    </w:r>
  </w:p>
  <w:p w14:paraId="2E51CD5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E6417">
    <w:pPr>
      <w:pStyle w:val="7"/>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6F9E46A4">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6381"/>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C75E8"/>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1CAD"/>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B79CC"/>
    <w:rsid w:val="00FC6FBE"/>
    <w:rsid w:val="00FD1162"/>
    <w:rsid w:val="00FD2232"/>
    <w:rsid w:val="00FD4AE7"/>
    <w:rsid w:val="00FD65A9"/>
    <w:rsid w:val="00FD7508"/>
    <w:rsid w:val="00FE1E51"/>
    <w:rsid w:val="00FE2496"/>
    <w:rsid w:val="00FE6A2B"/>
    <w:rsid w:val="00FF0275"/>
    <w:rsid w:val="00FF07B3"/>
    <w:rsid w:val="00FF1E37"/>
    <w:rsid w:val="02F120AB"/>
    <w:rsid w:val="04C3537C"/>
    <w:rsid w:val="079004AC"/>
    <w:rsid w:val="0BA148CA"/>
    <w:rsid w:val="0C1165C4"/>
    <w:rsid w:val="0DD136FE"/>
    <w:rsid w:val="0F8E2C57"/>
    <w:rsid w:val="1059665E"/>
    <w:rsid w:val="10AC13BA"/>
    <w:rsid w:val="145A6C1B"/>
    <w:rsid w:val="167A2FF9"/>
    <w:rsid w:val="1AEC0734"/>
    <w:rsid w:val="1DEF20B0"/>
    <w:rsid w:val="214243FA"/>
    <w:rsid w:val="21AD613C"/>
    <w:rsid w:val="257A14F5"/>
    <w:rsid w:val="27196C26"/>
    <w:rsid w:val="29EF086F"/>
    <w:rsid w:val="2EFFE297"/>
    <w:rsid w:val="301437CA"/>
    <w:rsid w:val="349D1F0A"/>
    <w:rsid w:val="34DD0473"/>
    <w:rsid w:val="37D9B8E1"/>
    <w:rsid w:val="3C684897"/>
    <w:rsid w:val="3C6874AB"/>
    <w:rsid w:val="41263DF8"/>
    <w:rsid w:val="433E495C"/>
    <w:rsid w:val="489F2FD7"/>
    <w:rsid w:val="4AC27CB3"/>
    <w:rsid w:val="4BF72BEF"/>
    <w:rsid w:val="4FA90297"/>
    <w:rsid w:val="4FC41A43"/>
    <w:rsid w:val="50CE5E35"/>
    <w:rsid w:val="51DB3C59"/>
    <w:rsid w:val="550C0952"/>
    <w:rsid w:val="55762E42"/>
    <w:rsid w:val="57A7B272"/>
    <w:rsid w:val="58470068"/>
    <w:rsid w:val="58747CAC"/>
    <w:rsid w:val="5A1720F9"/>
    <w:rsid w:val="5B9C37C2"/>
    <w:rsid w:val="5BA7C654"/>
    <w:rsid w:val="60A54109"/>
    <w:rsid w:val="61D01CDF"/>
    <w:rsid w:val="6370747A"/>
    <w:rsid w:val="64C0607C"/>
    <w:rsid w:val="65756C86"/>
    <w:rsid w:val="674D385B"/>
    <w:rsid w:val="676F09E1"/>
    <w:rsid w:val="798524E4"/>
    <w:rsid w:val="7A7F1C49"/>
    <w:rsid w:val="7B5B7AE6"/>
    <w:rsid w:val="7B7B6628"/>
    <w:rsid w:val="7BA7071E"/>
    <w:rsid w:val="7BDF6DA8"/>
    <w:rsid w:val="7BF66A6E"/>
    <w:rsid w:val="7C7EDC1A"/>
    <w:rsid w:val="7CCED98D"/>
    <w:rsid w:val="7D08410F"/>
    <w:rsid w:val="7DB96DED"/>
    <w:rsid w:val="7DD3AD81"/>
    <w:rsid w:val="7F7F9C81"/>
    <w:rsid w:val="7F7FE70F"/>
    <w:rsid w:val="7FFF772F"/>
    <w:rsid w:val="8BFFCEB5"/>
    <w:rsid w:val="95F35EF6"/>
    <w:rsid w:val="9BFFD860"/>
    <w:rsid w:val="9E6FDD14"/>
    <w:rsid w:val="AC5F73DE"/>
    <w:rsid w:val="B5DDD2C8"/>
    <w:rsid w:val="B9DFABD9"/>
    <w:rsid w:val="BC0D83FC"/>
    <w:rsid w:val="BF3BDEFB"/>
    <w:rsid w:val="C75F6086"/>
    <w:rsid w:val="C7F7ED2D"/>
    <w:rsid w:val="CFAF854E"/>
    <w:rsid w:val="D8D7928E"/>
    <w:rsid w:val="D8FE3136"/>
    <w:rsid w:val="DDDE60B7"/>
    <w:rsid w:val="DE9F6A22"/>
    <w:rsid w:val="DF4FCE6A"/>
    <w:rsid w:val="DFFF16C1"/>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Char"/>
    <w:link w:val="7"/>
    <w:qFormat/>
    <w:uiPriority w:val="0"/>
    <w:rPr>
      <w:rFonts w:eastAsia="宋体"/>
      <w:kern w:val="2"/>
      <w:sz w:val="18"/>
      <w:szCs w:val="18"/>
      <w:lang w:val="en-US" w:eastAsia="zh-CN" w:bidi="ar-SA"/>
    </w:rPr>
  </w:style>
  <w:style w:type="character" w:customStyle="1" w:styleId="16">
    <w:name w:val="页眉 Char"/>
    <w:link w:val="8"/>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2736.03</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04eeb9d-7d96-4b18-8578-7b558cd8ce2f}"/>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521.33</c:v>
                </c:pt>
                <c:pt idx="1">
                  <c:v>1970.02</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e92c5bc-075d-4658-b22c-17cee6a0f743}"/>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2799</Words>
  <Characters>3132</Characters>
  <Lines>23</Lines>
  <Paragraphs>6</Paragraphs>
  <TotalTime>0</TotalTime>
  <ScaleCrop>false</ScaleCrop>
  <LinksUpToDate>false</LinksUpToDate>
  <CharactersWithSpaces>3150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2017-07-12T23:16:00Z</dcterms:created>
  <dc:creator>常程</dc:creator>
  <cp:lastModifiedBy>WPS_1639715380</cp:lastModifiedBy>
  <cp:lastPrinted>2025-08-22T04:52:00Z</cp:lastPrinted>
  <dcterms:modified xsi:type="dcterms:W3CDTF">2025-09-08T01:57:34Z</dcterms:modified>
  <dc:title>北京市财政局关于做好向市人大常委会报送2015年度市级部门决算（草案）</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