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BB3C6F">
      <w:pPr>
        <w:jc w:val="center"/>
        <w:rPr>
          <w:rFonts w:ascii="仿宋_GB2312" w:eastAsia="仿宋_GB2312"/>
          <w:b/>
          <w:sz w:val="32"/>
          <w:szCs w:val="32"/>
        </w:rPr>
      </w:pPr>
    </w:p>
    <w:p w14:paraId="1D084403">
      <w:pPr>
        <w:jc w:val="center"/>
        <w:rPr>
          <w:rFonts w:ascii="黑体" w:eastAsia="黑体"/>
          <w:sz w:val="72"/>
          <w:szCs w:val="72"/>
        </w:rPr>
      </w:pPr>
    </w:p>
    <w:p w14:paraId="7A74096E">
      <w:pPr>
        <w:jc w:val="center"/>
        <w:rPr>
          <w:rFonts w:ascii="黑体" w:eastAsia="黑体"/>
          <w:sz w:val="72"/>
          <w:szCs w:val="72"/>
        </w:rPr>
      </w:pPr>
    </w:p>
    <w:p w14:paraId="0F003729">
      <w:pPr>
        <w:jc w:val="center"/>
        <w:rPr>
          <w:rFonts w:ascii="黑体" w:eastAsia="黑体"/>
          <w:sz w:val="72"/>
          <w:szCs w:val="72"/>
        </w:rPr>
      </w:pPr>
    </w:p>
    <w:p w14:paraId="70AECA03">
      <w:pPr>
        <w:jc w:val="center"/>
        <w:rPr>
          <w:rFonts w:ascii="黑体" w:eastAsia="黑体"/>
          <w:sz w:val="72"/>
          <w:szCs w:val="72"/>
        </w:rPr>
      </w:pPr>
      <w:r>
        <w:rPr>
          <w:rFonts w:hint="eastAsia" w:ascii="黑体" w:eastAsia="黑体"/>
          <w:sz w:val="72"/>
          <w:szCs w:val="72"/>
        </w:rPr>
        <w:t>北京市文化产业促进中心</w:t>
      </w:r>
    </w:p>
    <w:p w14:paraId="6DFB3090">
      <w:pPr>
        <w:jc w:val="center"/>
        <w:rPr>
          <w:rFonts w:ascii="黑体" w:eastAsia="黑体"/>
          <w:sz w:val="72"/>
          <w:szCs w:val="72"/>
        </w:rPr>
      </w:pPr>
      <w:r>
        <w:rPr>
          <w:rFonts w:hint="eastAsia" w:ascii="黑体" w:eastAsia="黑体"/>
          <w:sz w:val="72"/>
          <w:szCs w:val="72"/>
        </w:rPr>
        <w:t>2024年度单位决算（公开</w:t>
      </w:r>
      <w:r>
        <w:rPr>
          <w:rFonts w:ascii="黑体" w:eastAsia="黑体"/>
          <w:sz w:val="72"/>
          <w:szCs w:val="72"/>
        </w:rPr>
        <w:t>）</w:t>
      </w:r>
    </w:p>
    <w:p w14:paraId="22284CD3">
      <w:pPr>
        <w:jc w:val="center"/>
        <w:rPr>
          <w:rFonts w:ascii="黑体" w:eastAsia="黑体"/>
          <w:sz w:val="52"/>
          <w:szCs w:val="52"/>
        </w:rPr>
      </w:pPr>
    </w:p>
    <w:p w14:paraId="721BFCD9">
      <w:pPr>
        <w:jc w:val="center"/>
        <w:rPr>
          <w:rFonts w:ascii="黑体" w:eastAsia="黑体"/>
          <w:sz w:val="52"/>
          <w:szCs w:val="52"/>
        </w:rPr>
      </w:pPr>
    </w:p>
    <w:p w14:paraId="41B8C52B">
      <w:pPr>
        <w:jc w:val="center"/>
        <w:rPr>
          <w:rFonts w:ascii="黑体" w:eastAsia="黑体"/>
          <w:sz w:val="52"/>
          <w:szCs w:val="52"/>
        </w:rPr>
      </w:pPr>
    </w:p>
    <w:p w14:paraId="68638E66">
      <w:pPr>
        <w:jc w:val="center"/>
        <w:rPr>
          <w:rFonts w:ascii="黑体" w:eastAsia="黑体"/>
          <w:sz w:val="52"/>
          <w:szCs w:val="52"/>
        </w:rPr>
      </w:pPr>
    </w:p>
    <w:p w14:paraId="234D59BE">
      <w:pPr>
        <w:jc w:val="center"/>
        <w:rPr>
          <w:rFonts w:ascii="黑体" w:eastAsia="黑体"/>
          <w:sz w:val="32"/>
          <w:szCs w:val="32"/>
        </w:rPr>
      </w:pPr>
    </w:p>
    <w:p w14:paraId="3CFF53AF">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213E2FCC">
      <w:pPr>
        <w:spacing w:line="500" w:lineRule="exact"/>
        <w:ind w:firstLine="645"/>
        <w:jc w:val="center"/>
        <w:rPr>
          <w:rFonts w:ascii="宋体" w:hAnsi="宋体" w:cs="宋体"/>
          <w:b/>
          <w:bCs/>
          <w:kern w:val="0"/>
          <w:sz w:val="36"/>
          <w:szCs w:val="36"/>
        </w:rPr>
      </w:pPr>
    </w:p>
    <w:p w14:paraId="00B4A9D0">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第一部分 2024年度单位决算报表</w:t>
      </w:r>
    </w:p>
    <w:p w14:paraId="0507E459">
      <w:pPr>
        <w:tabs>
          <w:tab w:val="center" w:pos="6979"/>
        </w:tabs>
        <w:spacing w:line="500" w:lineRule="exact"/>
        <w:ind w:firstLine="2400" w:firstLineChars="600"/>
        <w:jc w:val="left"/>
        <w:rPr>
          <w:rFonts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285925DE">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243C511A">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2C8B609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7EFFE798">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04B377E9">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284DFC8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592A5D3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7788C031">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九、国有资本经营预算财政拨款支出决算表</w:t>
      </w:r>
    </w:p>
    <w:p w14:paraId="18F423DE">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057B305F">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233589E1">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十二、政府购买服务决算公开情况表</w:t>
      </w:r>
    </w:p>
    <w:p w14:paraId="48C265A7">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2024年度单位决算说明</w:t>
      </w:r>
    </w:p>
    <w:p w14:paraId="43E967CE">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2024年度</w:t>
      </w:r>
      <w:r>
        <w:rPr>
          <w:rFonts w:hint="eastAsia" w:ascii="宋体" w:hAnsi="宋体" w:cs="宋体"/>
          <w:spacing w:val="40"/>
          <w:kern w:val="0"/>
          <w:sz w:val="32"/>
          <w:szCs w:val="32"/>
        </w:rPr>
        <w:t>其他重要事项的情况说明</w:t>
      </w:r>
    </w:p>
    <w:p w14:paraId="2873A0EC">
      <w:pPr>
        <w:tabs>
          <w:tab w:val="center" w:pos="6979"/>
        </w:tabs>
        <w:spacing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第四部分 2024年度单位绩效评价情况</w:t>
      </w:r>
    </w:p>
    <w:p w14:paraId="26238E57">
      <w:pPr>
        <w:tabs>
          <w:tab w:val="center" w:pos="6979"/>
        </w:tabs>
        <w:spacing w:beforeLines="50" w:afterLines="50"/>
        <w:jc w:val="center"/>
        <w:rPr>
          <w:rFonts w:ascii="宋体" w:hAnsi="宋体" w:cs="宋体"/>
          <w:b/>
          <w:bCs/>
          <w:spacing w:val="40"/>
          <w:kern w:val="0"/>
          <w:sz w:val="32"/>
          <w:szCs w:val="32"/>
        </w:rPr>
      </w:pPr>
    </w:p>
    <w:p w14:paraId="31DE41AC">
      <w:pPr>
        <w:tabs>
          <w:tab w:val="center" w:pos="6979"/>
        </w:tabs>
        <w:spacing w:beforeLines="50" w:afterLines="50"/>
        <w:jc w:val="center"/>
        <w:rPr>
          <w:rFonts w:ascii="宋体" w:hAnsi="宋体" w:cs="宋体"/>
          <w:b/>
          <w:bCs/>
          <w:spacing w:val="40"/>
          <w:kern w:val="0"/>
          <w:sz w:val="32"/>
          <w:szCs w:val="32"/>
        </w:rPr>
      </w:pPr>
    </w:p>
    <w:p w14:paraId="28C78639">
      <w:pPr>
        <w:tabs>
          <w:tab w:val="center" w:pos="6979"/>
        </w:tabs>
        <w:spacing w:beforeLines="50" w:afterLines="50"/>
        <w:jc w:val="center"/>
        <w:rPr>
          <w:rFonts w:ascii="宋体" w:hAnsi="宋体" w:cs="宋体"/>
          <w:b/>
          <w:bCs/>
          <w:spacing w:val="40"/>
          <w:kern w:val="0"/>
          <w:sz w:val="32"/>
          <w:szCs w:val="32"/>
        </w:rPr>
      </w:pPr>
    </w:p>
    <w:p w14:paraId="2CA69A2D">
      <w:pPr>
        <w:tabs>
          <w:tab w:val="center" w:pos="6979"/>
        </w:tabs>
        <w:spacing w:beforeLines="50" w:afterLines="50"/>
        <w:jc w:val="center"/>
        <w:rPr>
          <w:rFonts w:ascii="宋体" w:hAnsi="宋体" w:cs="宋体"/>
          <w:b/>
          <w:bCs/>
          <w:spacing w:val="40"/>
          <w:kern w:val="0"/>
          <w:sz w:val="32"/>
          <w:szCs w:val="32"/>
        </w:rPr>
      </w:pPr>
    </w:p>
    <w:p w14:paraId="1FAE84B5">
      <w:pPr>
        <w:tabs>
          <w:tab w:val="center" w:pos="6979"/>
        </w:tabs>
        <w:spacing w:beforeLines="50" w:afterLines="50"/>
        <w:jc w:val="center"/>
        <w:rPr>
          <w:rFonts w:ascii="宋体" w:hAnsi="宋体" w:cs="宋体"/>
          <w:b/>
          <w:bCs/>
          <w:spacing w:val="40"/>
          <w:kern w:val="0"/>
          <w:sz w:val="32"/>
          <w:szCs w:val="32"/>
        </w:rPr>
      </w:pPr>
    </w:p>
    <w:p w14:paraId="731E153C">
      <w:pPr>
        <w:tabs>
          <w:tab w:val="center" w:pos="6979"/>
        </w:tabs>
        <w:spacing w:beforeLines="50"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第一部分 2024年度单位决算报表</w:t>
      </w:r>
    </w:p>
    <w:p w14:paraId="2DCB020D">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2197D0DE">
      <w:pPr>
        <w:tabs>
          <w:tab w:val="center" w:pos="6979"/>
        </w:tabs>
        <w:spacing w:beforeLines="50" w:afterLines="50"/>
        <w:jc w:val="center"/>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2024年度单位决算说明</w:t>
      </w:r>
    </w:p>
    <w:p w14:paraId="210F5229">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一、单位基本情况</w:t>
      </w:r>
    </w:p>
    <w:p w14:paraId="62141513">
      <w:pPr>
        <w:spacing w:line="560" w:lineRule="exact"/>
      </w:pPr>
      <w:r>
        <w:rPr>
          <w:rFonts w:hint="eastAsia" w:ascii="仿宋_GB2312" w:eastAsia="仿宋_GB2312"/>
          <w:sz w:val="28"/>
          <w:szCs w:val="28"/>
        </w:rPr>
        <w:t xml:space="preserve">    根据北京市委机构编制委员会有关文件通知，2024年北京市文化产业促进中心调整为市委宣传部所属</w:t>
      </w:r>
      <w:r>
        <w:rPr>
          <w:rFonts w:hint="eastAsia" w:ascii="仿宋_GB2312" w:eastAsia="仿宋_GB2312"/>
          <w:color w:val="000000"/>
          <w:sz w:val="28"/>
          <w:szCs w:val="28"/>
        </w:rPr>
        <w:t>公益一类事业单位，机构规格为正处级，主要职责是承担促进本市文化产业高质量发展的辅助性工</w:t>
      </w:r>
      <w:r>
        <w:rPr>
          <w:rFonts w:hint="eastAsia" w:ascii="仿宋_GB2312" w:eastAsia="仿宋_GB2312"/>
          <w:sz w:val="28"/>
          <w:szCs w:val="28"/>
        </w:rPr>
        <w:t>作。北京市文化产业促进中心内设综合办公室、产业部、宣传推广部等部门。</w:t>
      </w:r>
    </w:p>
    <w:p w14:paraId="543E754A">
      <w:pPr>
        <w:tabs>
          <w:tab w:val="center" w:pos="6979"/>
        </w:tabs>
        <w:spacing w:line="580" w:lineRule="exact"/>
        <w:rPr>
          <w:rFonts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5D367E7C">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2845.01</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减少2290.00万元，下降44.60%。</w:t>
      </w:r>
    </w:p>
    <w:p w14:paraId="2B38DCDB">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14:paraId="5837311D">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2024年度本年收入合计</w:t>
      </w:r>
      <w:r>
        <w:rPr>
          <w:rFonts w:ascii="仿宋_GB2312" w:eastAsia="仿宋_GB2312"/>
          <w:sz w:val="28"/>
          <w:szCs w:val="28"/>
        </w:rPr>
        <w:t>2796.18</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减少2316.49万元，下降45.31%。</w:t>
      </w:r>
    </w:p>
    <w:p w14:paraId="2EEDBF31">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1.财政拨款收入</w:t>
      </w:r>
      <w:r>
        <w:rPr>
          <w:rFonts w:ascii="仿宋_GB2312" w:eastAsia="仿宋_GB2312"/>
          <w:sz w:val="28"/>
          <w:szCs w:val="28"/>
        </w:rPr>
        <w:t>2795.99</w:t>
      </w:r>
      <w:r>
        <w:rPr>
          <w:rFonts w:hint="eastAsia" w:ascii="仿宋_GB2312" w:eastAsia="仿宋_GB2312"/>
          <w:sz w:val="28"/>
          <w:szCs w:val="28"/>
        </w:rPr>
        <w:t>万元，占收入合计的99.99%。其中：一般公共预算财政拨款收入</w:t>
      </w:r>
      <w:r>
        <w:rPr>
          <w:rFonts w:ascii="仿宋_GB2312" w:eastAsia="仿宋_GB2312"/>
          <w:sz w:val="28"/>
          <w:szCs w:val="28"/>
        </w:rPr>
        <w:t>2795.99</w:t>
      </w:r>
      <w:r>
        <w:rPr>
          <w:rFonts w:hint="eastAsia" w:ascii="仿宋_GB2312" w:eastAsia="仿宋_GB2312"/>
          <w:sz w:val="28"/>
          <w:szCs w:val="28"/>
        </w:rPr>
        <w:t>万元，占收入合计的99.99%；政府性基金预算财政拨款收入</w:t>
      </w:r>
      <w:r>
        <w:rPr>
          <w:rFonts w:ascii="仿宋_GB2312" w:eastAsia="仿宋_GB2312"/>
          <w:sz w:val="28"/>
          <w:szCs w:val="28"/>
        </w:rPr>
        <w:t>0</w:t>
      </w:r>
      <w:r>
        <w:rPr>
          <w:rFonts w:hint="eastAsia" w:ascii="仿宋_GB2312" w:eastAsia="仿宋_GB2312"/>
          <w:sz w:val="28"/>
          <w:szCs w:val="28"/>
        </w:rPr>
        <w:t>万元，占收入合计的0%；国有资本经营预算财政拨款收入</w:t>
      </w:r>
      <w:r>
        <w:rPr>
          <w:rFonts w:ascii="仿宋_GB2312" w:eastAsia="仿宋_GB2312"/>
          <w:sz w:val="28"/>
          <w:szCs w:val="28"/>
        </w:rPr>
        <w:t>0</w:t>
      </w:r>
      <w:r>
        <w:rPr>
          <w:rFonts w:hint="eastAsia" w:ascii="仿宋_GB2312" w:eastAsia="仿宋_GB2312"/>
          <w:sz w:val="28"/>
          <w:szCs w:val="28"/>
        </w:rPr>
        <w:t>万元，占收入合计的0%；</w:t>
      </w:r>
    </w:p>
    <w:p w14:paraId="22C20A20">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万元，占收入合计的0%；</w:t>
      </w:r>
    </w:p>
    <w:p w14:paraId="21F71356">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万元，占收入合计的0%；</w:t>
      </w:r>
    </w:p>
    <w:p w14:paraId="544722A9">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万元，占收入合计的0%；</w:t>
      </w:r>
    </w:p>
    <w:p w14:paraId="3B9C10A2">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万元，占收入合计的0%；</w:t>
      </w:r>
    </w:p>
    <w:p w14:paraId="671D15C7">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0.19</w:t>
      </w:r>
      <w:r>
        <w:rPr>
          <w:rFonts w:hint="eastAsia" w:ascii="仿宋_GB2312" w:eastAsia="仿宋_GB2312"/>
          <w:sz w:val="28"/>
          <w:szCs w:val="28"/>
        </w:rPr>
        <w:t>万元，占收入合计的0.01%。</w:t>
      </w:r>
    </w:p>
    <w:p w14:paraId="00016272">
      <w:pPr>
        <w:spacing w:line="560" w:lineRule="exact"/>
        <w:ind w:firstLine="640"/>
        <w:rPr>
          <w:rFonts w:ascii="仿宋_GB2312" w:eastAsia="仿宋_GB2312" w:cs="Droid Sans"/>
          <w:color w:val="000000"/>
          <w:sz w:val="32"/>
          <w:szCs w:val="32"/>
        </w:rPr>
      </w:pPr>
    </w:p>
    <w:p w14:paraId="6E40F648">
      <w:pPr>
        <w:pStyle w:val="2"/>
        <w:jc w:val="center"/>
        <w:rPr>
          <w:rFonts w:hint="eastAsia" w:eastAsia="仿宋_GB2312"/>
          <w:lang w:val="en-US" w:eastAsia="zh-CN"/>
        </w:rPr>
      </w:pPr>
      <w:r>
        <w:rPr>
          <w:rFonts w:hint="eastAsia" w:ascii="仿宋_GB2312" w:eastAsia="仿宋_GB2312"/>
          <w:color w:val="000000"/>
          <w:sz w:val="32"/>
        </w:rPr>
        <w:t>图1：收入</w:t>
      </w:r>
      <w:r>
        <w:rPr>
          <w:rFonts w:hint="eastAsia" w:ascii="仿宋_GB2312" w:eastAsia="仿宋_GB2312"/>
          <w:color w:val="000000"/>
          <w:sz w:val="32"/>
          <w:lang w:eastAsia="zh-CN"/>
        </w:rPr>
        <w:t>决算</w:t>
      </w:r>
    </w:p>
    <w:p w14:paraId="25E29231">
      <w:pPr>
        <w:pStyle w:val="3"/>
        <w:ind w:firstLine="420"/>
        <w:jc w:val="center"/>
      </w:pPr>
      <w:r>
        <w:drawing>
          <wp:inline distT="0" distB="0" distL="0" distR="0">
            <wp:extent cx="4036695" cy="2328545"/>
            <wp:effectExtent l="0" t="0" r="20955" b="1460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315EF86">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593D624F">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2024年度本年支出合计</w:t>
      </w:r>
      <w:r>
        <w:rPr>
          <w:rFonts w:ascii="仿宋_GB2312" w:eastAsia="仿宋_GB2312"/>
          <w:sz w:val="28"/>
          <w:szCs w:val="28"/>
        </w:rPr>
        <w:t>1503.56</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减少3439.31万元，下降69.58%，其中：基本支出</w:t>
      </w:r>
      <w:r>
        <w:rPr>
          <w:rFonts w:ascii="仿宋_GB2312" w:eastAsia="仿宋_GB2312"/>
          <w:sz w:val="28"/>
          <w:szCs w:val="28"/>
        </w:rPr>
        <w:t>1011.86</w:t>
      </w:r>
      <w:r>
        <w:rPr>
          <w:rFonts w:hint="eastAsia" w:ascii="仿宋_GB2312" w:eastAsia="仿宋_GB2312"/>
          <w:sz w:val="28"/>
          <w:szCs w:val="28"/>
        </w:rPr>
        <w:t>万元，占支出合计的67.30%；项目支出</w:t>
      </w:r>
      <w:r>
        <w:rPr>
          <w:rFonts w:ascii="仿宋_GB2312" w:eastAsia="仿宋_GB2312"/>
          <w:sz w:val="28"/>
          <w:szCs w:val="28"/>
        </w:rPr>
        <w:t>491.7</w:t>
      </w:r>
      <w:r>
        <w:rPr>
          <w:rFonts w:hint="eastAsia" w:ascii="仿宋_GB2312" w:eastAsia="仿宋_GB2312"/>
          <w:sz w:val="28"/>
          <w:szCs w:val="28"/>
        </w:rPr>
        <w:t>0万元，占支出合计的32.70%；上缴上级支出</w:t>
      </w:r>
      <w:r>
        <w:rPr>
          <w:rFonts w:ascii="仿宋_GB2312" w:eastAsia="仿宋_GB2312"/>
          <w:sz w:val="28"/>
          <w:szCs w:val="28"/>
        </w:rPr>
        <w:t>0</w:t>
      </w:r>
      <w:r>
        <w:rPr>
          <w:rFonts w:hint="eastAsia" w:ascii="仿宋_GB2312" w:eastAsia="仿宋_GB2312"/>
          <w:sz w:val="28"/>
          <w:szCs w:val="28"/>
        </w:rPr>
        <w:t>万元，占支出合计的0%；经营支出</w:t>
      </w:r>
      <w:r>
        <w:rPr>
          <w:rFonts w:ascii="仿宋_GB2312" w:eastAsia="仿宋_GB2312"/>
          <w:sz w:val="28"/>
          <w:szCs w:val="28"/>
        </w:rPr>
        <w:t>0</w:t>
      </w:r>
      <w:r>
        <w:rPr>
          <w:rFonts w:hint="eastAsia" w:ascii="仿宋_GB2312" w:eastAsia="仿宋_GB2312"/>
          <w:sz w:val="28"/>
          <w:szCs w:val="28"/>
        </w:rPr>
        <w:t>万元，占支出合计的0%；对附属单位补助支出</w:t>
      </w:r>
      <w:r>
        <w:rPr>
          <w:rFonts w:ascii="仿宋_GB2312" w:eastAsia="仿宋_GB2312"/>
          <w:sz w:val="28"/>
          <w:szCs w:val="28"/>
        </w:rPr>
        <w:t>0</w:t>
      </w:r>
      <w:r>
        <w:rPr>
          <w:rFonts w:hint="eastAsia" w:ascii="仿宋_GB2312" w:eastAsia="仿宋_GB2312"/>
          <w:sz w:val="28"/>
          <w:szCs w:val="28"/>
        </w:rPr>
        <w:t>万元，占支出合计的0%。</w:t>
      </w:r>
    </w:p>
    <w:p w14:paraId="0E0EF5E1">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224E9956">
      <w:pPr>
        <w:jc w:val="center"/>
        <w:rPr>
          <w:rFonts w:ascii="黑体" w:eastAsia="黑体"/>
          <w:b/>
          <w:sz w:val="28"/>
          <w:szCs w:val="28"/>
        </w:rPr>
      </w:pPr>
      <w:r>
        <w:drawing>
          <wp:inline distT="0" distB="0" distL="114300" distR="114300">
            <wp:extent cx="4572000" cy="2743200"/>
            <wp:effectExtent l="4445" t="4445" r="14605" b="14605"/>
            <wp:docPr id="1" name="图表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C1DFDEE">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6AE55EE0">
      <w:pPr>
        <w:snapToGrid w:val="0"/>
        <w:spacing w:line="560" w:lineRule="exact"/>
        <w:ind w:firstLine="560" w:firstLineChars="200"/>
        <w:rPr>
          <w:rFonts w:ascii="仿宋_GB2312" w:eastAsia="仿宋_GB2312"/>
          <w:sz w:val="28"/>
          <w:szCs w:val="28"/>
        </w:rPr>
      </w:pPr>
      <w:r>
        <w:rPr>
          <w:rFonts w:hint="eastAsia" w:ascii="仿宋_GB2312" w:eastAsia="仿宋_GB2312"/>
          <w:sz w:val="28"/>
          <w:szCs w:val="28"/>
        </w:rPr>
        <w:t>2024年度财政拨款收、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2795.99</w:t>
      </w:r>
      <w:r>
        <w:rPr>
          <w:rFonts w:hint="eastAsia" w:ascii="仿宋_GB2312" w:eastAsia="仿宋_GB2312"/>
          <w:sz w:val="28"/>
          <w:szCs w:val="28"/>
        </w:rPr>
        <w:t>万元，比上年减少2338.00万元，下降45.54%。主要原因：机构改革，工作任务调整。</w:t>
      </w:r>
    </w:p>
    <w:p w14:paraId="79FCB415">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四、一般公共预算财政拨款支出决算情况说明</w:t>
      </w:r>
    </w:p>
    <w:p w14:paraId="16E60ED5">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（一）一般公共预算财政拨款支出决算总体情况</w:t>
      </w:r>
    </w:p>
    <w:p w14:paraId="550E44D6">
      <w:pPr>
        <w:tabs>
          <w:tab w:val="center" w:pos="6979"/>
        </w:tabs>
        <w:spacing w:line="560" w:lineRule="exact"/>
        <w:ind w:firstLine="560" w:firstLineChars="200"/>
        <w:rPr>
          <w:rFonts w:ascii="仿宋_GB2312" w:eastAsia="仿宋_GB2312"/>
          <w:sz w:val="28"/>
          <w:szCs w:val="28"/>
        </w:rPr>
      </w:pPr>
      <w:r>
        <w:rPr>
          <w:rFonts w:hint="eastAsia" w:ascii="仿宋_GB2312" w:eastAsia="仿宋_GB2312"/>
          <w:sz w:val="28"/>
          <w:szCs w:val="28"/>
        </w:rPr>
        <w:t>2024年度一般公共预算财政拨款支出</w:t>
      </w:r>
      <w:r>
        <w:rPr>
          <w:rFonts w:ascii="仿宋_GB2312" w:eastAsia="仿宋_GB2312"/>
          <w:sz w:val="28"/>
          <w:szCs w:val="28"/>
        </w:rPr>
        <w:t>1503.56</w:t>
      </w:r>
      <w:r>
        <w:rPr>
          <w:rFonts w:hint="eastAsia" w:ascii="仿宋_GB2312" w:eastAsia="仿宋_GB2312"/>
          <w:sz w:val="28"/>
          <w:szCs w:val="28"/>
        </w:rPr>
        <w:t>万元，主要用于以下方面（按大类）：文化旅游体育与传媒支出1503.56万元，占本年财政拨款100%。</w:t>
      </w:r>
    </w:p>
    <w:p w14:paraId="2307AF25">
      <w:pPr>
        <w:tabs>
          <w:tab w:val="center" w:pos="6979"/>
        </w:tabs>
        <w:spacing w:line="580" w:lineRule="exact"/>
        <w:ind w:firstLine="560" w:firstLineChars="200"/>
        <w:rPr>
          <w:rFonts w:ascii="仿宋_GB2312" w:eastAsia="仿宋_GB2312"/>
          <w:sz w:val="28"/>
          <w:szCs w:val="28"/>
        </w:rPr>
      </w:pPr>
    </w:p>
    <w:p w14:paraId="14E698CA">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（二）一般公共预算财政拨款支出决算具体情况</w:t>
      </w:r>
    </w:p>
    <w:p w14:paraId="69F641F7">
      <w:pPr>
        <w:autoSpaceDE w:val="0"/>
        <w:autoSpaceDN w:val="0"/>
        <w:adjustRightInd w:val="0"/>
        <w:spacing w:line="560" w:lineRule="exact"/>
        <w:ind w:firstLine="560" w:firstLineChars="200"/>
        <w:jc w:val="left"/>
        <w:rPr>
          <w:rFonts w:ascii="仿宋_GB2312" w:eastAsia="仿宋_GB2312"/>
          <w:sz w:val="28"/>
          <w:szCs w:val="28"/>
        </w:rPr>
      </w:pPr>
      <w:r>
        <w:rPr>
          <w:rFonts w:hint="eastAsia" w:ascii="仿宋_GB2312" w:eastAsia="仿宋_GB2312"/>
          <w:sz w:val="28"/>
          <w:szCs w:val="28"/>
        </w:rPr>
        <w:t>“文化旅游体育与传媒支出”2024年度年初预算2354.06万元，2024年度决算1503.56万元，完成年初预算的63.87%。其中：</w:t>
      </w:r>
    </w:p>
    <w:p w14:paraId="0A6D8123">
      <w:pPr>
        <w:snapToGrid w:val="0"/>
        <w:spacing w:line="560" w:lineRule="exact"/>
        <w:ind w:firstLine="560" w:firstLineChars="200"/>
        <w:rPr>
          <w:rFonts w:ascii="仿宋_GB2312" w:eastAsia="仿宋_GB2312"/>
          <w:sz w:val="28"/>
          <w:szCs w:val="28"/>
        </w:rPr>
      </w:pPr>
      <w:r>
        <w:rPr>
          <w:rFonts w:hint="eastAsia" w:ascii="仿宋_GB2312" w:eastAsia="仿宋_GB2312"/>
          <w:sz w:val="28"/>
          <w:szCs w:val="28"/>
        </w:rPr>
        <w:t>“文化和旅游”2024年度年初预算2354.06万元，2024年度决算1503.56万元，完成年初预算的63.87%。主要原因：机构改革，工作任务调整。</w:t>
      </w:r>
    </w:p>
    <w:p w14:paraId="024A4106">
      <w:pPr>
        <w:spacing w:line="580" w:lineRule="exact"/>
        <w:ind w:firstLine="560" w:firstLineChars="200"/>
        <w:rPr>
          <w:rFonts w:ascii="仿宋_GB2312" w:eastAsia="仿宋_GB2312"/>
          <w:sz w:val="28"/>
          <w:szCs w:val="28"/>
        </w:rPr>
      </w:pPr>
      <w:r>
        <w:rPr>
          <w:rFonts w:hint="eastAsia" w:ascii="黑体" w:eastAsia="黑体"/>
          <w:b/>
          <w:sz w:val="28"/>
          <w:szCs w:val="28"/>
        </w:rPr>
        <w:t>五、政府性基金预算财政拨款支出决算情况说明</w:t>
      </w:r>
    </w:p>
    <w:p w14:paraId="65BC000F">
      <w:pPr>
        <w:spacing w:line="580" w:lineRule="exact"/>
        <w:ind w:firstLine="560" w:firstLineChars="200"/>
        <w:rPr>
          <w:rFonts w:ascii="仿宋_GB2312" w:eastAsia="仿宋_GB2312"/>
          <w:sz w:val="28"/>
          <w:szCs w:val="28"/>
        </w:rPr>
      </w:pPr>
      <w:r>
        <w:rPr>
          <w:rFonts w:hint="eastAsia" w:ascii="仿宋_GB2312" w:eastAsia="仿宋_GB2312"/>
          <w:sz w:val="28"/>
          <w:szCs w:val="28"/>
        </w:rPr>
        <w:t>本单位无此项支出。</w:t>
      </w:r>
    </w:p>
    <w:p w14:paraId="4CFC09E9">
      <w:pPr>
        <w:spacing w:line="580" w:lineRule="exact"/>
        <w:ind w:firstLine="560" w:firstLineChars="200"/>
        <w:rPr>
          <w:rFonts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6B0018E2">
      <w:pPr>
        <w:spacing w:line="580" w:lineRule="exact"/>
        <w:ind w:firstLine="560" w:firstLineChars="200"/>
        <w:rPr>
          <w:rFonts w:ascii="仿宋_GB2312" w:eastAsia="仿宋_GB2312"/>
          <w:sz w:val="28"/>
          <w:szCs w:val="28"/>
        </w:rPr>
      </w:pPr>
      <w:r>
        <w:rPr>
          <w:rFonts w:hint="eastAsia" w:ascii="仿宋_GB2312" w:eastAsia="仿宋_GB2312"/>
          <w:sz w:val="28"/>
          <w:szCs w:val="28"/>
        </w:rPr>
        <w:t>本单位无此项支出。</w:t>
      </w:r>
    </w:p>
    <w:p w14:paraId="45D2F420">
      <w:pPr>
        <w:spacing w:line="580" w:lineRule="exact"/>
        <w:ind w:firstLine="548" w:firstLineChars="196"/>
        <w:rPr>
          <w:rFonts w:ascii="黑体" w:eastAsia="黑体"/>
          <w:sz w:val="28"/>
          <w:szCs w:val="28"/>
        </w:rPr>
      </w:pPr>
      <w:r>
        <w:rPr>
          <w:rFonts w:hint="eastAsia" w:ascii="黑体" w:eastAsia="黑体"/>
          <w:b/>
          <w:sz w:val="28"/>
          <w:szCs w:val="28"/>
        </w:rPr>
        <w:t>七、财政拨款基本支出决算情况说明</w:t>
      </w:r>
    </w:p>
    <w:p w14:paraId="237391E7">
      <w:pPr>
        <w:tabs>
          <w:tab w:val="center" w:pos="6979"/>
        </w:tabs>
        <w:spacing w:line="580" w:lineRule="exact"/>
        <w:ind w:firstLine="548" w:firstLineChars="196"/>
        <w:rPr>
          <w:rFonts w:ascii="黑体" w:eastAsia="黑体"/>
          <w:b/>
          <w:sz w:val="28"/>
          <w:szCs w:val="28"/>
        </w:rPr>
      </w:pPr>
      <w:r>
        <w:rPr>
          <w:rFonts w:hint="eastAsia" w:ascii="仿宋_GB2312" w:eastAsia="仿宋_GB2312"/>
          <w:sz w:val="28"/>
          <w:szCs w:val="28"/>
        </w:rPr>
        <w:t>2024年度使用一般公共预算财政拨款安排基本支出</w:t>
      </w:r>
      <w:r>
        <w:rPr>
          <w:rFonts w:ascii="仿宋_GB2312" w:eastAsia="仿宋_GB2312"/>
          <w:sz w:val="28"/>
          <w:szCs w:val="28"/>
        </w:rPr>
        <w:t>1011.86</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32897077">
      <w:pPr>
        <w:autoSpaceDE w:val="0"/>
        <w:autoSpaceDN w:val="0"/>
        <w:adjustRightInd w:val="0"/>
        <w:spacing w:line="580" w:lineRule="exact"/>
        <w:rPr>
          <w:rFonts w:ascii="仿宋_GB2312" w:eastAsia="仿宋_GB2312"/>
          <w:b/>
          <w:sz w:val="32"/>
          <w:szCs w:val="32"/>
        </w:rPr>
      </w:pPr>
      <w:r>
        <w:rPr>
          <w:rFonts w:ascii="仿宋_GB2312" w:eastAsia="仿宋_GB2312"/>
          <w:b/>
          <w:sz w:val="32"/>
          <w:szCs w:val="32"/>
        </w:rPr>
        <w:tab/>
      </w:r>
    </w:p>
    <w:p w14:paraId="6D5036BA">
      <w:pPr>
        <w:pStyle w:val="2"/>
        <w:rPr>
          <w:rFonts w:ascii="仿宋_GB2312" w:eastAsia="仿宋_GB2312"/>
          <w:sz w:val="32"/>
        </w:rPr>
      </w:pPr>
    </w:p>
    <w:p w14:paraId="6C6271CF">
      <w:pPr>
        <w:rPr>
          <w:rFonts w:ascii="仿宋_GB2312" w:eastAsia="仿宋_GB2312"/>
          <w:b/>
          <w:sz w:val="32"/>
          <w:szCs w:val="32"/>
        </w:rPr>
      </w:pPr>
    </w:p>
    <w:p w14:paraId="59290ABD">
      <w:pPr>
        <w:pStyle w:val="2"/>
        <w:rPr>
          <w:rFonts w:ascii="仿宋_GB2312" w:eastAsia="仿宋_GB2312"/>
          <w:sz w:val="32"/>
        </w:rPr>
      </w:pPr>
    </w:p>
    <w:p w14:paraId="56549212">
      <w:pPr>
        <w:rPr>
          <w:rFonts w:ascii="仿宋_GB2312" w:eastAsia="仿宋_GB2312"/>
          <w:b/>
          <w:sz w:val="32"/>
          <w:szCs w:val="32"/>
        </w:rPr>
      </w:pPr>
    </w:p>
    <w:p w14:paraId="46E9EA74">
      <w:pPr>
        <w:pStyle w:val="2"/>
        <w:rPr>
          <w:rFonts w:ascii="仿宋_GB2312" w:eastAsia="仿宋_GB2312"/>
          <w:sz w:val="32"/>
        </w:rPr>
      </w:pPr>
    </w:p>
    <w:p w14:paraId="19CB4A70">
      <w:pPr>
        <w:rPr>
          <w:rFonts w:ascii="仿宋_GB2312" w:eastAsia="仿宋_GB2312"/>
          <w:b/>
          <w:sz w:val="32"/>
          <w:szCs w:val="32"/>
        </w:rPr>
      </w:pPr>
    </w:p>
    <w:p w14:paraId="7BBF4BE4">
      <w:pPr>
        <w:pStyle w:val="2"/>
        <w:rPr>
          <w:rFonts w:ascii="仿宋_GB2312" w:eastAsia="仿宋_GB2312"/>
          <w:sz w:val="32"/>
        </w:rPr>
      </w:pPr>
    </w:p>
    <w:p w14:paraId="01DFE1EA">
      <w:pPr>
        <w:rPr>
          <w:rFonts w:ascii="仿宋_GB2312" w:eastAsia="仿宋_GB2312"/>
          <w:b/>
          <w:sz w:val="32"/>
          <w:szCs w:val="32"/>
        </w:rPr>
      </w:pPr>
    </w:p>
    <w:p w14:paraId="79B7F94C">
      <w:pPr>
        <w:rPr>
          <w:rFonts w:ascii="仿宋_GB2312" w:eastAsia="仿宋_GB2312"/>
          <w:b/>
          <w:sz w:val="32"/>
          <w:szCs w:val="32"/>
        </w:rPr>
      </w:pPr>
    </w:p>
    <w:p w14:paraId="37885DFC">
      <w:pPr>
        <w:pStyle w:val="2"/>
      </w:pPr>
    </w:p>
    <w:p w14:paraId="7E996A85">
      <w:pPr>
        <w:tabs>
          <w:tab w:val="center" w:pos="6979"/>
        </w:tabs>
        <w:jc w:val="center"/>
        <w:rPr>
          <w:rFonts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2024年度</w:t>
      </w:r>
      <w:r>
        <w:rPr>
          <w:rFonts w:hint="eastAsia" w:ascii="宋体" w:hAnsi="宋体" w:cs="宋体"/>
          <w:b/>
          <w:spacing w:val="40"/>
          <w:kern w:val="0"/>
          <w:sz w:val="32"/>
          <w:szCs w:val="32"/>
        </w:rPr>
        <w:t>其他重要事项的情况说明</w:t>
      </w:r>
    </w:p>
    <w:p w14:paraId="421902A9">
      <w:pPr>
        <w:spacing w:line="560" w:lineRule="exact"/>
        <w:ind w:firstLine="560" w:firstLineChars="200"/>
        <w:rPr>
          <w:rFonts w:ascii="黑体" w:eastAsia="黑体"/>
          <w:sz w:val="28"/>
          <w:szCs w:val="28"/>
        </w:rPr>
      </w:pPr>
      <w:r>
        <w:rPr>
          <w:rFonts w:hint="eastAsia" w:ascii="黑体" w:eastAsia="黑体"/>
          <w:sz w:val="28"/>
          <w:szCs w:val="28"/>
        </w:rPr>
        <w:t>一、“三公”经费财政拨款决算情况</w:t>
      </w:r>
    </w:p>
    <w:p w14:paraId="6E672D9A">
      <w:pPr>
        <w:spacing w:line="560" w:lineRule="exact"/>
        <w:ind w:firstLine="600"/>
        <w:rPr>
          <w:rFonts w:ascii="仿宋_GB2312" w:eastAsia="仿宋_GB2312"/>
          <w:sz w:val="28"/>
          <w:szCs w:val="28"/>
        </w:rPr>
      </w:pPr>
      <w:r>
        <w:rPr>
          <w:rFonts w:hint="eastAsia" w:ascii="仿宋_GB2312" w:eastAsia="仿宋_GB2312"/>
          <w:sz w:val="28"/>
          <w:szCs w:val="28"/>
        </w:rPr>
        <w:t>2024年度“三公”经费财政拨款决算数</w:t>
      </w:r>
      <w:r>
        <w:rPr>
          <w:rFonts w:ascii="仿宋_GB2312" w:eastAsia="仿宋_GB2312"/>
          <w:sz w:val="28"/>
          <w:szCs w:val="28"/>
        </w:rPr>
        <w:t>0</w:t>
      </w:r>
      <w:r>
        <w:rPr>
          <w:rFonts w:hint="eastAsia" w:ascii="仿宋_GB2312" w:eastAsia="仿宋_GB2312"/>
          <w:sz w:val="28"/>
          <w:szCs w:val="28"/>
        </w:rPr>
        <w:t>万元，比2024年度“三公”经费财政拨款年初预算</w:t>
      </w:r>
      <w:r>
        <w:rPr>
          <w:rFonts w:ascii="仿宋_GB2312" w:eastAsia="仿宋_GB2312"/>
          <w:sz w:val="28"/>
          <w:szCs w:val="28"/>
        </w:rPr>
        <w:t>0.3</w:t>
      </w:r>
      <w:r>
        <w:rPr>
          <w:rFonts w:hint="eastAsia" w:ascii="仿宋_GB2312" w:eastAsia="仿宋_GB2312"/>
          <w:sz w:val="28"/>
          <w:szCs w:val="28"/>
        </w:rPr>
        <w:t>0万元减少</w:t>
      </w:r>
      <w:r>
        <w:rPr>
          <w:rFonts w:ascii="仿宋_GB2312" w:eastAsia="仿宋_GB2312"/>
          <w:sz w:val="28"/>
          <w:szCs w:val="28"/>
        </w:rPr>
        <w:t>0.3</w:t>
      </w:r>
      <w:r>
        <w:rPr>
          <w:rFonts w:hint="eastAsia" w:ascii="仿宋_GB2312" w:eastAsia="仿宋_GB2312"/>
          <w:sz w:val="28"/>
          <w:szCs w:val="28"/>
        </w:rPr>
        <w:t>0万元。其中：</w:t>
      </w:r>
    </w:p>
    <w:p w14:paraId="27B7F0B7">
      <w:pPr>
        <w:spacing w:line="560" w:lineRule="exact"/>
        <w:ind w:firstLine="600"/>
        <w:rPr>
          <w:rFonts w:ascii="仿宋_GB2312" w:eastAsia="仿宋_GB2312"/>
          <w:sz w:val="28"/>
          <w:szCs w:val="28"/>
        </w:rPr>
      </w:pPr>
      <w:r>
        <w:rPr>
          <w:rFonts w:hint="eastAsia" w:ascii="仿宋_GB2312" w:eastAsia="仿宋_GB2312"/>
          <w:sz w:val="28"/>
          <w:szCs w:val="28"/>
        </w:rPr>
        <w:t>1.因公出国（境）费用。2024年度决算数</w:t>
      </w:r>
      <w:r>
        <w:rPr>
          <w:rFonts w:ascii="仿宋_GB2312" w:eastAsia="仿宋_GB2312"/>
          <w:sz w:val="28"/>
          <w:szCs w:val="28"/>
        </w:rPr>
        <w:t>0</w:t>
      </w:r>
      <w:r>
        <w:rPr>
          <w:rFonts w:hint="eastAsia" w:ascii="仿宋_GB2312" w:eastAsia="仿宋_GB2312"/>
          <w:sz w:val="28"/>
          <w:szCs w:val="28"/>
        </w:rPr>
        <w:t>万元，与2024年度年初预算数持平。</w:t>
      </w:r>
    </w:p>
    <w:p w14:paraId="2AB42C8E">
      <w:pPr>
        <w:spacing w:line="560" w:lineRule="exact"/>
        <w:ind w:firstLine="600"/>
        <w:rPr>
          <w:rFonts w:ascii="仿宋_GB2312" w:eastAsia="仿宋_GB2312"/>
          <w:sz w:val="28"/>
          <w:szCs w:val="28"/>
        </w:rPr>
      </w:pPr>
      <w:r>
        <w:rPr>
          <w:rFonts w:hint="eastAsia" w:ascii="仿宋_GB2312" w:eastAsia="仿宋_GB2312"/>
          <w:sz w:val="28"/>
          <w:szCs w:val="28"/>
        </w:rPr>
        <w:t>2.公务接待费。2024年度决算数</w:t>
      </w:r>
      <w:r>
        <w:rPr>
          <w:rFonts w:ascii="仿宋_GB2312" w:eastAsia="仿宋_GB2312"/>
          <w:sz w:val="28"/>
          <w:szCs w:val="28"/>
        </w:rPr>
        <w:t>0</w:t>
      </w:r>
      <w:r>
        <w:rPr>
          <w:rFonts w:hint="eastAsia" w:ascii="仿宋_GB2312" w:eastAsia="仿宋_GB2312"/>
          <w:sz w:val="28"/>
          <w:szCs w:val="28"/>
        </w:rPr>
        <w:t>万元，比2024年度年初预算数</w:t>
      </w:r>
      <w:r>
        <w:rPr>
          <w:rFonts w:ascii="仿宋_GB2312" w:eastAsia="仿宋_GB2312"/>
          <w:sz w:val="28"/>
          <w:szCs w:val="28"/>
        </w:rPr>
        <w:t>0.3</w:t>
      </w:r>
      <w:r>
        <w:rPr>
          <w:rFonts w:hint="eastAsia" w:ascii="仿宋_GB2312" w:eastAsia="仿宋_GB2312"/>
          <w:sz w:val="28"/>
          <w:szCs w:val="28"/>
        </w:rPr>
        <w:t>0万元减少</w:t>
      </w:r>
      <w:r>
        <w:rPr>
          <w:rFonts w:ascii="仿宋_GB2312" w:eastAsia="仿宋_GB2312"/>
          <w:sz w:val="28"/>
          <w:szCs w:val="28"/>
        </w:rPr>
        <w:t>0.3</w:t>
      </w:r>
      <w:r>
        <w:rPr>
          <w:rFonts w:hint="eastAsia" w:ascii="仿宋_GB2312" w:eastAsia="仿宋_GB2312"/>
          <w:sz w:val="28"/>
          <w:szCs w:val="28"/>
        </w:rPr>
        <w:t>0万元。主要原因：2024年度未发生公务接待支出。</w:t>
      </w:r>
    </w:p>
    <w:p w14:paraId="0CECC2F8">
      <w:pPr>
        <w:spacing w:line="560" w:lineRule="exact"/>
        <w:ind w:firstLine="560" w:firstLineChars="200"/>
        <w:rPr>
          <w:rFonts w:ascii="仿宋_GB2312" w:eastAsia="仿宋_GB2312"/>
          <w:sz w:val="28"/>
          <w:szCs w:val="28"/>
        </w:rPr>
      </w:pPr>
      <w:r>
        <w:rPr>
          <w:rFonts w:hint="eastAsia" w:ascii="仿宋_GB2312" w:eastAsia="仿宋_GB2312"/>
          <w:sz w:val="28"/>
          <w:szCs w:val="28"/>
        </w:rPr>
        <w:t>3.公务用车购置及运行维护费。2024年度决算数</w:t>
      </w:r>
      <w:r>
        <w:rPr>
          <w:rFonts w:ascii="仿宋_GB2312" w:eastAsia="仿宋_GB2312"/>
          <w:sz w:val="28"/>
          <w:szCs w:val="28"/>
        </w:rPr>
        <w:t>0</w:t>
      </w:r>
      <w:r>
        <w:rPr>
          <w:rFonts w:hint="eastAsia" w:ascii="仿宋_GB2312" w:eastAsia="仿宋_GB2312"/>
          <w:sz w:val="28"/>
          <w:szCs w:val="28"/>
        </w:rPr>
        <w:t>万元，与2024年度年初预算数持平。其中，公务用车购置费2024年度决算数0万元，2024年度购置（更新）0辆。公务用车运行维护费2024年度决算数0万元。2024年度公务用车保有量</w:t>
      </w:r>
      <w:r>
        <w:rPr>
          <w:rFonts w:ascii="仿宋_GB2312" w:eastAsia="仿宋_GB2312"/>
          <w:sz w:val="28"/>
          <w:szCs w:val="28"/>
        </w:rPr>
        <w:t>0</w:t>
      </w:r>
      <w:r>
        <w:rPr>
          <w:rFonts w:hint="eastAsia" w:ascii="仿宋_GB2312" w:eastAsia="仿宋_GB2312"/>
          <w:sz w:val="28"/>
          <w:szCs w:val="28"/>
        </w:rPr>
        <w:t>辆。</w:t>
      </w:r>
    </w:p>
    <w:p w14:paraId="641E878B">
      <w:pPr>
        <w:tabs>
          <w:tab w:val="center" w:pos="6979"/>
        </w:tabs>
        <w:ind w:firstLine="554" w:firstLineChars="198"/>
        <w:rPr>
          <w:rFonts w:ascii="黑体" w:eastAsia="黑体"/>
          <w:sz w:val="28"/>
          <w:szCs w:val="28"/>
        </w:rPr>
      </w:pPr>
      <w:r>
        <w:rPr>
          <w:rFonts w:hint="eastAsia" w:ascii="黑体" w:eastAsia="黑体"/>
          <w:sz w:val="28"/>
          <w:szCs w:val="28"/>
        </w:rPr>
        <w:t>二、机关运行经费支出情况</w:t>
      </w:r>
    </w:p>
    <w:p w14:paraId="244D4A5D">
      <w:pPr>
        <w:ind w:firstLine="537" w:firstLineChars="192"/>
        <w:rPr>
          <w:rFonts w:ascii="仿宋_GB2312" w:eastAsia="仿宋_GB2312"/>
          <w:sz w:val="28"/>
          <w:szCs w:val="28"/>
        </w:rPr>
      </w:pPr>
      <w:r>
        <w:rPr>
          <w:rFonts w:hint="eastAsia" w:ascii="仿宋_GB2312" w:eastAsia="仿宋_GB2312"/>
          <w:sz w:val="28"/>
          <w:szCs w:val="28"/>
        </w:rPr>
        <w:t>本单位不在机关运行经费统计范围之内。</w:t>
      </w:r>
    </w:p>
    <w:p w14:paraId="1A4F1F4F">
      <w:pPr>
        <w:ind w:left="540"/>
        <w:rPr>
          <w:rFonts w:ascii="黑体" w:eastAsia="黑体"/>
          <w:sz w:val="28"/>
          <w:szCs w:val="28"/>
        </w:rPr>
      </w:pPr>
      <w:r>
        <w:rPr>
          <w:rFonts w:hint="eastAsia" w:ascii="黑体" w:eastAsia="黑体"/>
          <w:sz w:val="28"/>
          <w:szCs w:val="28"/>
        </w:rPr>
        <w:t>三、政府采购支出情况</w:t>
      </w:r>
    </w:p>
    <w:p w14:paraId="57E07967">
      <w:pPr>
        <w:ind w:firstLine="537" w:firstLineChars="192"/>
        <w:rPr>
          <w:rFonts w:ascii="仿宋_GB2312" w:eastAsia="仿宋_GB2312"/>
          <w:sz w:val="28"/>
          <w:szCs w:val="28"/>
        </w:rPr>
      </w:pPr>
      <w:r>
        <w:rPr>
          <w:rFonts w:hint="eastAsia" w:ascii="仿宋_GB2312" w:eastAsia="仿宋_GB2312"/>
          <w:sz w:val="28"/>
          <w:szCs w:val="28"/>
        </w:rPr>
        <w:t>2024年度政府采购支出总额</w:t>
      </w:r>
      <w:r>
        <w:rPr>
          <w:rFonts w:ascii="仿宋_GB2312" w:eastAsia="仿宋_GB2312"/>
          <w:sz w:val="28"/>
          <w:szCs w:val="28"/>
        </w:rPr>
        <w:t>5.77</w:t>
      </w:r>
      <w:r>
        <w:rPr>
          <w:rFonts w:hint="eastAsia" w:ascii="仿宋_GB2312" w:eastAsia="仿宋_GB2312"/>
          <w:sz w:val="28"/>
          <w:szCs w:val="28"/>
        </w:rPr>
        <w:t>万元，其中：政府采购货物支出</w:t>
      </w:r>
      <w:r>
        <w:rPr>
          <w:rFonts w:ascii="仿宋_GB2312" w:eastAsia="仿宋_GB2312"/>
          <w:sz w:val="28"/>
          <w:szCs w:val="28"/>
        </w:rPr>
        <w:t>0.12</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5.65</w:t>
      </w:r>
      <w:r>
        <w:rPr>
          <w:rFonts w:hint="eastAsia" w:ascii="仿宋_GB2312" w:eastAsia="仿宋_GB2312"/>
          <w:sz w:val="28"/>
          <w:szCs w:val="28"/>
        </w:rPr>
        <w:t>万元。授予中小企业合同金额</w:t>
      </w:r>
      <w:r>
        <w:rPr>
          <w:rFonts w:ascii="仿宋_GB2312" w:eastAsia="仿宋_GB2312"/>
          <w:sz w:val="28"/>
          <w:szCs w:val="28"/>
        </w:rPr>
        <w:t>4.47</w:t>
      </w:r>
      <w:r>
        <w:rPr>
          <w:rFonts w:hint="eastAsia" w:ascii="仿宋_GB2312" w:eastAsia="仿宋_GB2312"/>
          <w:sz w:val="28"/>
          <w:szCs w:val="28"/>
        </w:rPr>
        <w:t>万元，占政府采购支出总额的77.47%，其中：授予小微企业合同金额</w:t>
      </w:r>
      <w:r>
        <w:rPr>
          <w:rFonts w:ascii="仿宋_GB2312" w:eastAsia="仿宋_GB2312"/>
          <w:sz w:val="28"/>
          <w:szCs w:val="28"/>
        </w:rPr>
        <w:t>4.47</w:t>
      </w:r>
      <w:r>
        <w:rPr>
          <w:rFonts w:hint="eastAsia" w:ascii="仿宋_GB2312" w:eastAsia="仿宋_GB2312"/>
          <w:sz w:val="28"/>
          <w:szCs w:val="28"/>
        </w:rPr>
        <w:t>万元，占政府采购支出总额的</w:t>
      </w:r>
      <w:r>
        <w:rPr>
          <w:rFonts w:ascii="仿宋_GB2312" w:eastAsia="仿宋_GB2312"/>
          <w:sz w:val="28"/>
          <w:szCs w:val="28"/>
        </w:rPr>
        <w:t>77.47</w:t>
      </w:r>
      <w:r>
        <w:rPr>
          <w:rFonts w:hint="eastAsia" w:ascii="仿宋_GB2312" w:eastAsia="仿宋_GB2312"/>
          <w:sz w:val="28"/>
          <w:szCs w:val="28"/>
        </w:rPr>
        <w:t>%。</w:t>
      </w:r>
    </w:p>
    <w:p w14:paraId="6147B3B7">
      <w:pPr>
        <w:ind w:firstLine="560" w:firstLineChars="200"/>
        <w:rPr>
          <w:rFonts w:ascii="黑体" w:eastAsia="黑体"/>
          <w:sz w:val="28"/>
          <w:szCs w:val="28"/>
          <w:highlight w:val="yellow"/>
        </w:rPr>
      </w:pPr>
      <w:r>
        <w:rPr>
          <w:rFonts w:hint="eastAsia" w:ascii="黑体" w:eastAsia="黑体"/>
          <w:sz w:val="28"/>
          <w:szCs w:val="28"/>
        </w:rPr>
        <w:t>四、国有资产占用情况</w:t>
      </w:r>
    </w:p>
    <w:p w14:paraId="1A8328FB">
      <w:pPr>
        <w:ind w:firstLine="560" w:firstLineChars="200"/>
        <w:rPr>
          <w:rFonts w:ascii="仿宋_GB2312" w:eastAsia="仿宋_GB2312"/>
          <w:sz w:val="32"/>
          <w:szCs w:val="32"/>
        </w:rPr>
      </w:pPr>
      <w:r>
        <w:rPr>
          <w:rFonts w:hint="eastAsia" w:ascii="仿宋_GB2312" w:eastAsia="仿宋_GB2312"/>
          <w:sz w:val="28"/>
          <w:szCs w:val="28"/>
        </w:rPr>
        <w:t>截至12月31日，北京市文化产业促进中心共有车辆0台；单位价值100万元（含）以上的设备1台（套）。</w:t>
      </w:r>
    </w:p>
    <w:p w14:paraId="31BD2E8F">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6FC7C622">
      <w:pPr>
        <w:ind w:firstLine="537" w:firstLineChars="192"/>
        <w:rPr>
          <w:rFonts w:ascii="仿宋_GB2312" w:eastAsia="仿宋_GB2312"/>
          <w:sz w:val="28"/>
          <w:szCs w:val="28"/>
        </w:rPr>
      </w:pPr>
      <w:r>
        <w:rPr>
          <w:rFonts w:hint="eastAsia" w:ascii="仿宋_GB2312" w:eastAsia="仿宋_GB2312"/>
          <w:sz w:val="28"/>
          <w:szCs w:val="28"/>
        </w:rPr>
        <w:t>2024年度</w:t>
      </w:r>
      <w:r>
        <w:rPr>
          <w:rFonts w:ascii="仿宋_GB2312" w:eastAsia="仿宋_GB2312"/>
          <w:sz w:val="28"/>
          <w:szCs w:val="28"/>
        </w:rPr>
        <w:t>政府购买服务决算0</w:t>
      </w:r>
      <w:r>
        <w:rPr>
          <w:rFonts w:hint="eastAsia" w:ascii="仿宋_GB2312" w:eastAsia="仿宋_GB2312"/>
          <w:sz w:val="28"/>
          <w:szCs w:val="28"/>
        </w:rPr>
        <w:t>万元。</w:t>
      </w:r>
    </w:p>
    <w:p w14:paraId="16366E4A">
      <w:pPr>
        <w:ind w:firstLine="560" w:firstLineChars="200"/>
        <w:jc w:val="left"/>
        <w:rPr>
          <w:rFonts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3C71DED5">
      <w:pPr>
        <w:ind w:firstLine="560" w:firstLineChars="200"/>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7D11E2FE">
      <w:pPr>
        <w:ind w:firstLine="560" w:firstLineChars="200"/>
        <w:rPr>
          <w:rFonts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4D535C38">
      <w:pPr>
        <w:ind w:firstLine="560" w:firstLineChars="200"/>
        <w:rPr>
          <w:rFonts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7FCE1C64">
      <w:pPr>
        <w:ind w:firstLine="560" w:firstLineChars="200"/>
        <w:rPr>
          <w:rFonts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27309569">
      <w:pPr>
        <w:ind w:firstLine="420" w:firstLineChars="150"/>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5410576F">
      <w:pPr>
        <w:ind w:firstLine="420" w:firstLineChars="150"/>
        <w:rPr>
          <w:rFonts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5DEF91C6">
      <w:pPr>
        <w:ind w:firstLine="420" w:firstLineChars="150"/>
        <w:rPr>
          <w:rFonts w:ascii="仿宋_GB2312" w:eastAsia="仿宋_GB2312"/>
          <w:sz w:val="28"/>
          <w:szCs w:val="28"/>
        </w:rPr>
      </w:pPr>
      <w:r>
        <w:rPr>
          <w:rFonts w:hint="eastAsia" w:ascii="仿宋_GB2312" w:eastAsia="仿宋_GB2312"/>
          <w:sz w:val="28"/>
          <w:szCs w:val="28"/>
        </w:rPr>
        <w:t>7.支出功能分类名词解释：</w:t>
      </w:r>
    </w:p>
    <w:p w14:paraId="1FF72652">
      <w:pPr>
        <w:spacing w:line="560" w:lineRule="exact"/>
        <w:ind w:firstLine="560" w:firstLineChars="200"/>
        <w:rPr>
          <w:rFonts w:ascii="仿宋_GB2312" w:eastAsia="仿宋_GB2312"/>
          <w:sz w:val="28"/>
          <w:szCs w:val="28"/>
        </w:rPr>
      </w:pPr>
      <w:r>
        <w:rPr>
          <w:rFonts w:hint="eastAsia" w:ascii="仿宋_GB2312" w:eastAsia="仿宋_GB2312"/>
          <w:sz w:val="28"/>
          <w:szCs w:val="28"/>
        </w:rPr>
        <w:t>文化旅游体育与传媒支出(类)文化和旅游（款）其他文化和旅游支出（项）：反映其他用于文化和旅游方面的支出。</w:t>
      </w:r>
    </w:p>
    <w:p w14:paraId="27043CBE">
      <w:pPr>
        <w:rPr>
          <w:rFonts w:ascii="黑体" w:eastAsia="黑体"/>
          <w:sz w:val="32"/>
          <w:szCs w:val="32"/>
        </w:rPr>
      </w:pPr>
    </w:p>
    <w:p w14:paraId="77673F5C">
      <w:pPr>
        <w:tabs>
          <w:tab w:val="center" w:pos="6979"/>
        </w:tabs>
        <w:spacing w:line="380" w:lineRule="exact"/>
        <w:jc w:val="center"/>
        <w:rPr>
          <w:rFonts w:ascii="宋体" w:hAnsi="宋体" w:cs="宋体"/>
          <w:b/>
          <w:bCs/>
          <w:kern w:val="0"/>
          <w:sz w:val="28"/>
          <w:szCs w:val="28"/>
        </w:rPr>
      </w:pPr>
    </w:p>
    <w:p w14:paraId="2E19F273">
      <w:pPr>
        <w:tabs>
          <w:tab w:val="center" w:pos="6979"/>
        </w:tabs>
        <w:spacing w:line="380" w:lineRule="exact"/>
        <w:jc w:val="center"/>
        <w:rPr>
          <w:rFonts w:ascii="宋体" w:hAnsi="宋体" w:cs="宋体"/>
          <w:b/>
          <w:bCs/>
          <w:kern w:val="0"/>
          <w:sz w:val="28"/>
          <w:szCs w:val="28"/>
        </w:rPr>
      </w:pPr>
    </w:p>
    <w:p w14:paraId="5585CAD3">
      <w:pPr>
        <w:rPr>
          <w:rFonts w:ascii="黑体" w:eastAsia="黑体"/>
          <w:sz w:val="32"/>
          <w:szCs w:val="32"/>
        </w:rPr>
      </w:pPr>
    </w:p>
    <w:p w14:paraId="18DD44E7">
      <w:pPr>
        <w:pStyle w:val="2"/>
        <w:rPr>
          <w:rFonts w:ascii="黑体"/>
          <w:sz w:val="32"/>
        </w:rPr>
      </w:pPr>
    </w:p>
    <w:p w14:paraId="5AE1F285">
      <w:pPr>
        <w:rPr>
          <w:rFonts w:ascii="黑体" w:eastAsia="黑体"/>
          <w:sz w:val="32"/>
          <w:szCs w:val="32"/>
        </w:rPr>
      </w:pPr>
    </w:p>
    <w:p w14:paraId="2C3391BE">
      <w:pPr>
        <w:pStyle w:val="2"/>
      </w:pPr>
    </w:p>
    <w:p w14:paraId="30019D9B">
      <w:pPr>
        <w:ind w:firstLine="640" w:firstLineChars="200"/>
        <w:jc w:val="center"/>
        <w:rPr>
          <w:rFonts w:ascii="黑体" w:eastAsia="黑体"/>
          <w:sz w:val="32"/>
          <w:szCs w:val="32"/>
        </w:rPr>
      </w:pPr>
    </w:p>
    <w:p w14:paraId="3965894A">
      <w:pPr>
        <w:ind w:firstLine="640" w:firstLineChars="200"/>
        <w:jc w:val="center"/>
        <w:rPr>
          <w:rFonts w:ascii="黑体" w:eastAsia="黑体"/>
          <w:sz w:val="32"/>
          <w:szCs w:val="32"/>
        </w:rPr>
      </w:pPr>
      <w:r>
        <w:rPr>
          <w:rFonts w:hint="eastAsia" w:ascii="黑体" w:eastAsia="黑体"/>
          <w:sz w:val="32"/>
          <w:szCs w:val="32"/>
        </w:rPr>
        <w:t>第四部分  2024年度单位绩效评价情况</w:t>
      </w:r>
    </w:p>
    <w:p w14:paraId="12284AFC">
      <w:pPr>
        <w:ind w:firstLine="560" w:firstLineChars="200"/>
        <w:rPr>
          <w:rFonts w:ascii="黑体" w:eastAsia="黑体"/>
          <w:sz w:val="28"/>
          <w:szCs w:val="28"/>
          <w:highlight w:val="yellow"/>
        </w:rPr>
      </w:pPr>
    </w:p>
    <w:p w14:paraId="2CB3A513">
      <w:pPr>
        <w:ind w:firstLine="560" w:firstLineChars="200"/>
        <w:rPr>
          <w:rFonts w:ascii="黑体" w:eastAsia="黑体"/>
          <w:sz w:val="28"/>
          <w:szCs w:val="28"/>
        </w:rPr>
      </w:pPr>
      <w:bookmarkStart w:id="0" w:name="_GoBack"/>
      <w:bookmarkEnd w:id="0"/>
      <w:r>
        <w:rPr>
          <w:rFonts w:hint="eastAsia" w:ascii="仿宋_GB2312" w:eastAsia="仿宋_GB2312"/>
          <w:sz w:val="28"/>
          <w:szCs w:val="28"/>
        </w:rPr>
        <w:t>项目</w:t>
      </w:r>
      <w:r>
        <w:rPr>
          <w:rFonts w:ascii="仿宋_GB2312" w:eastAsia="仿宋_GB2312"/>
          <w:sz w:val="28"/>
          <w:szCs w:val="28"/>
        </w:rPr>
        <w:t>支出绩效自评表</w:t>
      </w:r>
      <w:r>
        <w:rPr>
          <w:rFonts w:hint="eastAsia" w:ascii="仿宋_GB2312" w:eastAsia="仿宋_GB2312"/>
          <w:sz w:val="28"/>
          <w:szCs w:val="28"/>
        </w:rPr>
        <w:t>（</w:t>
      </w:r>
      <w:r>
        <w:rPr>
          <w:rFonts w:hint="eastAsia" w:ascii="仿宋" w:hAnsi="仿宋" w:eastAsia="仿宋" w:cs="仿宋"/>
          <w:sz w:val="28"/>
          <w:szCs w:val="28"/>
        </w:rPr>
        <w:t>详见附件</w:t>
      </w:r>
      <w:r>
        <w:rPr>
          <w:rFonts w:hint="eastAsia" w:ascii="黑体" w:eastAsia="黑体"/>
          <w:sz w:val="28"/>
          <w:szCs w:val="28"/>
        </w:rPr>
        <w:t>）</w:t>
      </w:r>
    </w:p>
    <w:p w14:paraId="70E47983">
      <w:pPr>
        <w:spacing w:line="480" w:lineRule="exact"/>
        <w:rPr>
          <w:rFonts w:ascii="仿宋_GB2312" w:hAnsi="仿宋_GB2312" w:eastAsia="仿宋_GB2312" w:cs="仿宋_GB2312"/>
          <w:sz w:val="32"/>
          <w:szCs w:val="32"/>
        </w:rPr>
      </w:pPr>
    </w:p>
    <w:p w14:paraId="10F46AD0">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56F00">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28D05CDD">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E7624">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9</w:t>
    </w:r>
    <w:r>
      <w:fldChar w:fldCharType="end"/>
    </w:r>
  </w:p>
  <w:p w14:paraId="6377BFFD">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EFBCA">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49CE0FFD">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ZmNWE4NzRhMTczNjJlZDE5ZTE5YTczN2QxMzcyMjAifQ=="/>
  </w:docVars>
  <w:rsids>
    <w:rsidRoot w:val="00100246"/>
    <w:rsid w:val="00003B03"/>
    <w:rsid w:val="000040E6"/>
    <w:rsid w:val="00011D72"/>
    <w:rsid w:val="00027195"/>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A328E"/>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22CD"/>
    <w:rsid w:val="001A369F"/>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1F669C"/>
    <w:rsid w:val="00206EC3"/>
    <w:rsid w:val="0021047C"/>
    <w:rsid w:val="00211E4E"/>
    <w:rsid w:val="00213D1C"/>
    <w:rsid w:val="00214C3A"/>
    <w:rsid w:val="00217517"/>
    <w:rsid w:val="00222628"/>
    <w:rsid w:val="002253CB"/>
    <w:rsid w:val="002267A6"/>
    <w:rsid w:val="002326DE"/>
    <w:rsid w:val="00234314"/>
    <w:rsid w:val="0023759F"/>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663D0"/>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12CC"/>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663F3"/>
    <w:rsid w:val="00471C52"/>
    <w:rsid w:val="0047460C"/>
    <w:rsid w:val="00474FF2"/>
    <w:rsid w:val="004772E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41E9"/>
    <w:rsid w:val="005052FA"/>
    <w:rsid w:val="005069E1"/>
    <w:rsid w:val="00507E59"/>
    <w:rsid w:val="005122B5"/>
    <w:rsid w:val="0052381C"/>
    <w:rsid w:val="00527DCD"/>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D1BF0"/>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255B3"/>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0769"/>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012A3"/>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76"/>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0A26"/>
    <w:rsid w:val="00AF1B0B"/>
    <w:rsid w:val="00AF242C"/>
    <w:rsid w:val="00AF3CC4"/>
    <w:rsid w:val="00B05903"/>
    <w:rsid w:val="00B12C7A"/>
    <w:rsid w:val="00B12E10"/>
    <w:rsid w:val="00B22BC3"/>
    <w:rsid w:val="00B25865"/>
    <w:rsid w:val="00B272B6"/>
    <w:rsid w:val="00B2771B"/>
    <w:rsid w:val="00B304F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2B1"/>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A5465"/>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20F1"/>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8AB3B19"/>
    <w:rsid w:val="0BA148CA"/>
    <w:rsid w:val="0BA73B24"/>
    <w:rsid w:val="0C1165C4"/>
    <w:rsid w:val="0D6D544B"/>
    <w:rsid w:val="0DD136FE"/>
    <w:rsid w:val="0F8E2C57"/>
    <w:rsid w:val="1059665E"/>
    <w:rsid w:val="10AC13BA"/>
    <w:rsid w:val="145A6C1B"/>
    <w:rsid w:val="14B73493"/>
    <w:rsid w:val="167A2FF9"/>
    <w:rsid w:val="18581C69"/>
    <w:rsid w:val="1AEC0734"/>
    <w:rsid w:val="1DEF20B0"/>
    <w:rsid w:val="214243FA"/>
    <w:rsid w:val="21AD613C"/>
    <w:rsid w:val="21AF75AE"/>
    <w:rsid w:val="22467189"/>
    <w:rsid w:val="254F18E2"/>
    <w:rsid w:val="257A14F5"/>
    <w:rsid w:val="27196C26"/>
    <w:rsid w:val="27765734"/>
    <w:rsid w:val="29EF086F"/>
    <w:rsid w:val="2A1E2702"/>
    <w:rsid w:val="2EFFE297"/>
    <w:rsid w:val="301437CA"/>
    <w:rsid w:val="3350621E"/>
    <w:rsid w:val="349D1F0A"/>
    <w:rsid w:val="34DD0473"/>
    <w:rsid w:val="3C684897"/>
    <w:rsid w:val="425B0BA8"/>
    <w:rsid w:val="433E495C"/>
    <w:rsid w:val="489F2FD7"/>
    <w:rsid w:val="4AC27CB3"/>
    <w:rsid w:val="4BF72BEF"/>
    <w:rsid w:val="4E0C238A"/>
    <w:rsid w:val="4FA90297"/>
    <w:rsid w:val="4FC41A43"/>
    <w:rsid w:val="503A0ABC"/>
    <w:rsid w:val="50A629F1"/>
    <w:rsid w:val="51DB3C59"/>
    <w:rsid w:val="530B7271"/>
    <w:rsid w:val="54BC1C5D"/>
    <w:rsid w:val="550C0952"/>
    <w:rsid w:val="55762E42"/>
    <w:rsid w:val="57A7B272"/>
    <w:rsid w:val="58470068"/>
    <w:rsid w:val="58747CAC"/>
    <w:rsid w:val="5A1720F9"/>
    <w:rsid w:val="5B9C37C2"/>
    <w:rsid w:val="5BA7C654"/>
    <w:rsid w:val="60A54109"/>
    <w:rsid w:val="61D01CDF"/>
    <w:rsid w:val="64C0607C"/>
    <w:rsid w:val="65756C86"/>
    <w:rsid w:val="6646463A"/>
    <w:rsid w:val="674D385B"/>
    <w:rsid w:val="676F09E1"/>
    <w:rsid w:val="69F7641A"/>
    <w:rsid w:val="7357290B"/>
    <w:rsid w:val="77B41D32"/>
    <w:rsid w:val="798524E4"/>
    <w:rsid w:val="7A7F1C49"/>
    <w:rsid w:val="7B5B7AE6"/>
    <w:rsid w:val="7B7B6628"/>
    <w:rsid w:val="7BA7071E"/>
    <w:rsid w:val="7BDF6DA8"/>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Sheet1!$A$2:$A$3</c:f>
              <c:strCache>
                <c:ptCount val="2"/>
                <c:pt idx="0">
                  <c:v>财政拨款收入</c:v>
                </c:pt>
                <c:pt idx="1">
                  <c:v>其他收入</c:v>
                </c:pt>
              </c:strCache>
            </c:strRef>
          </c:cat>
          <c:val>
            <c:numRef>
              <c:f>Sheet1!$B$2:$B$3</c:f>
              <c:numCache>
                <c:formatCode>General</c:formatCode>
                <c:ptCount val="2"/>
                <c:pt idx="0">
                  <c:v>2795.99</c:v>
                </c:pt>
                <c:pt idx="1">
                  <c:v>0.19</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extLst>
      <c:ext uri="{0b15fc19-7d7d-44ad-8c2d-2c3a37ce22c3}">
        <chartProps xmlns="https://web.wps.cn/et/2018/main" chartId="{db1f13ba-0ab5-41fd-875b-a6ba1d90b6ef}"/>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Sheet0!$A$2:$A$3</c:f>
              <c:strCache>
                <c:ptCount val="2"/>
                <c:pt idx="0">
                  <c:v>基本支出</c:v>
                </c:pt>
                <c:pt idx="1">
                  <c:v>项目支出</c:v>
                </c:pt>
              </c:strCache>
            </c:strRef>
          </c:cat>
          <c:val>
            <c:numRef>
              <c:f>Sheet0!$B$2:$B$3</c:f>
              <c:numCache>
                <c:formatCode>General</c:formatCode>
                <c:ptCount val="2"/>
                <c:pt idx="0">
                  <c:v>1011.86</c:v>
                </c:pt>
                <c:pt idx="1">
                  <c:v>491.7</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zero"/>
    <c:showDLblsOverMax val="0"/>
    <c:extLst>
      <c:ext uri="{0b15fc19-7d7d-44ad-8c2d-2c3a37ce22c3}">
        <chartProps xmlns="https://web.wps.cn/et/2018/main" chartId="{8e139c56-ec84-47b6-8e67-ea6bf0f82eab}"/>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2718</Words>
  <Characters>3062</Characters>
  <Lines>22</Lines>
  <Paragraphs>6</Paragraphs>
  <TotalTime>0</TotalTime>
  <ScaleCrop>false</ScaleCrop>
  <LinksUpToDate>false</LinksUpToDate>
  <CharactersWithSpaces>3085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WPS_1639715380</cp:lastModifiedBy>
  <cp:lastPrinted>2020-08-07T11:39:00Z</cp:lastPrinted>
  <dcterms:modified xsi:type="dcterms:W3CDTF">2025-09-08T01:58:01Z</dcterms:modified>
  <dc:title>北京市财政局关于做好向市人大常委会报送2015年度市级部门决算（草案）</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435078ACFECC4A5A8A519EF4C3681114_13</vt:lpwstr>
  </property>
  <property fmtid="{D5CDD505-2E9C-101B-9397-08002B2CF9AE}" pid="4" name="KSOTemplateDocerSaveRecord">
    <vt:lpwstr>eyJoZGlkIjoiMzlhNDkwZDM5NGFjYTEzMDlkYzJlMmY3ZGQ4MDEyZjciLCJ1c2VySWQiOiIxMzAzMzM4OTAyIn0=</vt:lpwstr>
  </property>
</Properties>
</file>