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F7534">
      <w:pPr>
        <w:jc w:val="center"/>
        <w:rPr>
          <w:rFonts w:hint="eastAsia" w:ascii="仿宋_GB2312" w:eastAsia="仿宋_GB2312"/>
          <w:b/>
          <w:sz w:val="32"/>
          <w:szCs w:val="32"/>
        </w:rPr>
      </w:pPr>
    </w:p>
    <w:p w14:paraId="21514721">
      <w:pPr>
        <w:jc w:val="center"/>
        <w:rPr>
          <w:rFonts w:ascii="黑体" w:eastAsia="黑体"/>
          <w:sz w:val="72"/>
          <w:szCs w:val="72"/>
        </w:rPr>
      </w:pPr>
    </w:p>
    <w:p w14:paraId="7A4AEBAF">
      <w:pPr>
        <w:jc w:val="center"/>
        <w:rPr>
          <w:rFonts w:ascii="黑体" w:eastAsia="黑体"/>
          <w:sz w:val="72"/>
          <w:szCs w:val="72"/>
        </w:rPr>
      </w:pPr>
    </w:p>
    <w:p w14:paraId="6C3D207F">
      <w:pPr>
        <w:jc w:val="center"/>
        <w:rPr>
          <w:rFonts w:ascii="黑体" w:eastAsia="黑体"/>
          <w:sz w:val="72"/>
          <w:szCs w:val="72"/>
        </w:rPr>
      </w:pPr>
    </w:p>
    <w:p w14:paraId="30E6FE82">
      <w:pPr>
        <w:jc w:val="center"/>
        <w:rPr>
          <w:rFonts w:ascii="黑体" w:eastAsia="黑体"/>
          <w:sz w:val="72"/>
          <w:szCs w:val="72"/>
        </w:rPr>
      </w:pPr>
      <w:r>
        <w:rPr>
          <w:rFonts w:hint="eastAsia" w:ascii="黑体" w:eastAsia="黑体"/>
          <w:sz w:val="72"/>
          <w:szCs w:val="72"/>
        </w:rPr>
        <w:t>北京市版权保护中心</w:t>
      </w:r>
    </w:p>
    <w:p w14:paraId="0C03F5D8">
      <w:pPr>
        <w:jc w:val="center"/>
        <w:rPr>
          <w:rFonts w:ascii="黑体" w:eastAsia="黑体"/>
          <w:sz w:val="72"/>
          <w:szCs w:val="72"/>
        </w:rPr>
      </w:pPr>
      <w:r>
        <w:rPr>
          <w:rFonts w:hint="eastAsia" w:ascii="黑体" w:eastAsia="黑体"/>
          <w:sz w:val="72"/>
          <w:szCs w:val="72"/>
        </w:rPr>
        <w:t>2024年度部门决算（公开</w:t>
      </w:r>
      <w:r>
        <w:rPr>
          <w:rFonts w:ascii="黑体" w:eastAsia="黑体"/>
          <w:sz w:val="72"/>
          <w:szCs w:val="72"/>
        </w:rPr>
        <w:t>）</w:t>
      </w:r>
    </w:p>
    <w:p w14:paraId="5211EEF5">
      <w:pPr>
        <w:jc w:val="center"/>
        <w:rPr>
          <w:rFonts w:ascii="黑体" w:eastAsia="黑体"/>
          <w:sz w:val="52"/>
          <w:szCs w:val="52"/>
        </w:rPr>
      </w:pPr>
    </w:p>
    <w:p w14:paraId="66B31D60">
      <w:pPr>
        <w:jc w:val="center"/>
        <w:rPr>
          <w:rFonts w:ascii="黑体" w:eastAsia="黑体"/>
          <w:sz w:val="52"/>
          <w:szCs w:val="52"/>
        </w:rPr>
      </w:pPr>
    </w:p>
    <w:p w14:paraId="4099AB62">
      <w:pPr>
        <w:jc w:val="center"/>
        <w:rPr>
          <w:rFonts w:ascii="黑体" w:eastAsia="黑体"/>
          <w:sz w:val="52"/>
          <w:szCs w:val="52"/>
        </w:rPr>
      </w:pPr>
    </w:p>
    <w:p w14:paraId="5F1CD685">
      <w:pPr>
        <w:jc w:val="center"/>
        <w:rPr>
          <w:rFonts w:ascii="黑体" w:eastAsia="黑体"/>
          <w:sz w:val="52"/>
          <w:szCs w:val="52"/>
        </w:rPr>
      </w:pPr>
    </w:p>
    <w:p w14:paraId="36943507">
      <w:pPr>
        <w:jc w:val="center"/>
        <w:rPr>
          <w:rFonts w:ascii="黑体" w:eastAsia="黑体"/>
          <w:sz w:val="32"/>
          <w:szCs w:val="32"/>
        </w:rPr>
      </w:pPr>
    </w:p>
    <w:p w14:paraId="0D027C37">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2C6D73AF">
      <w:pPr>
        <w:spacing w:line="500" w:lineRule="exact"/>
        <w:ind w:firstLine="645"/>
        <w:jc w:val="center"/>
        <w:rPr>
          <w:rFonts w:ascii="宋体" w:hAnsi="宋体" w:cs="宋体"/>
          <w:b/>
          <w:bCs/>
          <w:kern w:val="0"/>
          <w:sz w:val="36"/>
          <w:szCs w:val="36"/>
        </w:rPr>
      </w:pPr>
    </w:p>
    <w:p w14:paraId="44DC6C3B">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2024年度部门决算报表</w:t>
      </w:r>
    </w:p>
    <w:p w14:paraId="0EA14A95">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6FA1FAE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074882C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58185A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102305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042948D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760E4E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465686E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1AB8CF5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0BE984E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5C2B07D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7344012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0EC95DAA">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2024年度部门决算说明</w:t>
      </w:r>
    </w:p>
    <w:p w14:paraId="29D142AC">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06EC9BB3">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2024年度部门绩效评价情况</w:t>
      </w:r>
    </w:p>
    <w:p w14:paraId="3E38D8EF">
      <w:pPr>
        <w:tabs>
          <w:tab w:val="center" w:pos="6979"/>
        </w:tabs>
        <w:spacing w:before="156" w:beforeLines="50" w:after="156" w:afterLines="50"/>
        <w:jc w:val="center"/>
        <w:rPr>
          <w:rFonts w:ascii="宋体" w:hAnsi="宋体" w:cs="宋体"/>
          <w:b/>
          <w:bCs/>
          <w:spacing w:val="40"/>
          <w:kern w:val="0"/>
          <w:sz w:val="32"/>
          <w:szCs w:val="32"/>
        </w:rPr>
      </w:pPr>
    </w:p>
    <w:p w14:paraId="2F9F913E">
      <w:pPr>
        <w:tabs>
          <w:tab w:val="center" w:pos="6979"/>
        </w:tabs>
        <w:spacing w:before="156" w:beforeLines="50" w:after="156" w:afterLines="50"/>
        <w:jc w:val="center"/>
        <w:rPr>
          <w:rFonts w:ascii="宋体" w:hAnsi="宋体" w:cs="宋体"/>
          <w:b/>
          <w:bCs/>
          <w:spacing w:val="40"/>
          <w:kern w:val="0"/>
          <w:sz w:val="32"/>
          <w:szCs w:val="32"/>
        </w:rPr>
      </w:pPr>
    </w:p>
    <w:p w14:paraId="5039AF54">
      <w:pPr>
        <w:tabs>
          <w:tab w:val="center" w:pos="6979"/>
        </w:tabs>
        <w:spacing w:before="156" w:beforeLines="50" w:after="156" w:afterLines="50"/>
        <w:jc w:val="center"/>
        <w:rPr>
          <w:rFonts w:ascii="宋体" w:hAnsi="宋体" w:cs="宋体"/>
          <w:b/>
          <w:bCs/>
          <w:spacing w:val="40"/>
          <w:kern w:val="0"/>
          <w:sz w:val="32"/>
          <w:szCs w:val="32"/>
        </w:rPr>
      </w:pPr>
    </w:p>
    <w:p w14:paraId="34F5E7C5">
      <w:pPr>
        <w:tabs>
          <w:tab w:val="center" w:pos="6979"/>
        </w:tabs>
        <w:spacing w:before="156" w:beforeLines="50" w:after="156" w:afterLines="50"/>
        <w:jc w:val="center"/>
        <w:rPr>
          <w:rFonts w:ascii="宋体" w:hAnsi="宋体" w:cs="宋体"/>
          <w:b/>
          <w:bCs/>
          <w:spacing w:val="40"/>
          <w:kern w:val="0"/>
          <w:sz w:val="32"/>
          <w:szCs w:val="32"/>
        </w:rPr>
      </w:pPr>
    </w:p>
    <w:p w14:paraId="64A0BB59">
      <w:pPr>
        <w:tabs>
          <w:tab w:val="center" w:pos="6979"/>
        </w:tabs>
        <w:spacing w:before="156" w:beforeLines="50" w:after="156" w:afterLines="50"/>
        <w:jc w:val="center"/>
        <w:rPr>
          <w:rFonts w:ascii="宋体" w:hAnsi="宋体" w:cs="宋体"/>
          <w:b/>
          <w:bCs/>
          <w:spacing w:val="40"/>
          <w:kern w:val="0"/>
          <w:sz w:val="32"/>
          <w:szCs w:val="32"/>
        </w:rPr>
      </w:pPr>
    </w:p>
    <w:p w14:paraId="402ABF61">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2024年度部门决算报表</w:t>
      </w:r>
    </w:p>
    <w:p w14:paraId="635DBE90">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49B9514B">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2024年度部门决算说明</w:t>
      </w:r>
    </w:p>
    <w:p w14:paraId="48209C0E">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3340CE64">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根据《中共北京市委机构编制委员会关于市委宣传部所属事业单位改革有关事项的批复》（京编委〔2021〕146号），组建北京市版权保护中心，为中共北京市委宣传部所属正处级公益一类事业单位，主要职责是承担本市版权保护的事务性工作。北京市版权保护中心内设综合管理科、版权业务一科、版权业务二科3个科室。无下属单位。</w:t>
      </w:r>
    </w:p>
    <w:p w14:paraId="71582136">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643EA44C">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1860.15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25.55万元，增长1.39%。</w:t>
      </w:r>
    </w:p>
    <w:p w14:paraId="3F6B6F65">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37E87C3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1860.15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26.25万元，增长1.43%。</w:t>
      </w:r>
    </w:p>
    <w:p w14:paraId="4CEBCEC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1860.15</w:t>
      </w:r>
      <w:r>
        <w:rPr>
          <w:rFonts w:hint="eastAsia" w:ascii="仿宋_GB2312" w:eastAsia="仿宋_GB2312"/>
          <w:sz w:val="28"/>
          <w:szCs w:val="28"/>
        </w:rPr>
        <w:t>万元，占收入合计的100%。其中：一般公共预算财政拨款收入</w:t>
      </w:r>
      <w:r>
        <w:rPr>
          <w:rFonts w:ascii="仿宋_GB2312" w:eastAsia="仿宋_GB2312"/>
          <w:sz w:val="28"/>
          <w:szCs w:val="28"/>
        </w:rPr>
        <w:t>1860.15</w:t>
      </w:r>
      <w:r>
        <w:rPr>
          <w:rFonts w:hint="eastAsia" w:ascii="仿宋_GB2312" w:eastAsia="仿宋_GB2312"/>
          <w:sz w:val="28"/>
          <w:szCs w:val="28"/>
        </w:rPr>
        <w:t>万元，占收入合计的100%；政府性基金预算财政拨款收入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2B6B24D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441FE22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14:paraId="7DD420B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5862166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76C7DB1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万元，占收入合计的0%。</w:t>
      </w:r>
    </w:p>
    <w:p w14:paraId="42A77802">
      <w:pPr>
        <w:pStyle w:val="2"/>
        <w:jc w:val="center"/>
        <w:rPr>
          <w:rFonts w:hint="eastAsia" w:eastAsia="仿宋_GB2312"/>
          <w:lang w:val="en-US" w:eastAsia="zh-CN"/>
        </w:rPr>
      </w:pPr>
      <w:r>
        <w:rPr>
          <w:rFonts w:hint="eastAsia" w:ascii="仿宋_GB2312" w:eastAsia="仿宋_GB2312"/>
          <w:color w:val="000000"/>
          <w:sz w:val="32"/>
        </w:rPr>
        <w:t>图1：收入</w:t>
      </w:r>
      <w:r>
        <w:rPr>
          <w:rFonts w:hint="eastAsia" w:ascii="仿宋_GB2312" w:eastAsia="仿宋_GB2312"/>
          <w:color w:val="000000"/>
          <w:sz w:val="32"/>
          <w:lang w:eastAsia="zh-CN"/>
        </w:rPr>
        <w:t>决算</w:t>
      </w:r>
    </w:p>
    <w:p w14:paraId="79605598">
      <w:pPr>
        <w:pStyle w:val="3"/>
        <w:ind w:firstLine="420"/>
        <w:jc w:val="center"/>
      </w:pPr>
      <w:r>
        <w:drawing>
          <wp:inline distT="0" distB="0" distL="0" distR="0">
            <wp:extent cx="4036695" cy="2328545"/>
            <wp:effectExtent l="0" t="0" r="20955" b="14605"/>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7F1B15B">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92065E6">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1615.26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减少42.52万元，下降2.56%，其中：基本支出</w:t>
      </w:r>
      <w:r>
        <w:rPr>
          <w:rFonts w:ascii="仿宋_GB2312" w:eastAsia="仿宋_GB2312"/>
          <w:sz w:val="28"/>
          <w:szCs w:val="28"/>
        </w:rPr>
        <w:t>760.03</w:t>
      </w:r>
      <w:r>
        <w:rPr>
          <w:rFonts w:hint="eastAsia" w:ascii="仿宋_GB2312" w:eastAsia="仿宋_GB2312"/>
          <w:sz w:val="28"/>
          <w:szCs w:val="28"/>
        </w:rPr>
        <w:t>万元，占支出合计的47.05%；项目支出</w:t>
      </w:r>
      <w:r>
        <w:rPr>
          <w:rFonts w:ascii="仿宋_GB2312" w:eastAsia="仿宋_GB2312"/>
          <w:sz w:val="28"/>
          <w:szCs w:val="28"/>
        </w:rPr>
        <w:t>855.23</w:t>
      </w:r>
      <w:r>
        <w:rPr>
          <w:rFonts w:hint="eastAsia" w:ascii="仿宋_GB2312" w:eastAsia="仿宋_GB2312"/>
          <w:sz w:val="28"/>
          <w:szCs w:val="28"/>
        </w:rPr>
        <w:t>万元，占支出合计的52.95%;上缴上级支出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0C68F005">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65259461">
      <w:pPr>
        <w:jc w:val="center"/>
        <w:rPr>
          <w:rFonts w:ascii="黑体" w:eastAsia="黑体"/>
          <w:b/>
          <w:sz w:val="28"/>
          <w:szCs w:val="28"/>
        </w:rPr>
      </w:pPr>
      <w:r>
        <w:drawing>
          <wp:inline distT="0" distB="0" distL="114300" distR="114300">
            <wp:extent cx="4572000" cy="2743200"/>
            <wp:effectExtent l="0" t="0" r="19050" b="19050"/>
            <wp:docPr id="4"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25379D7">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A231978">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1860.15</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33.15万元，增长1.78%。主要原因：因本年度在职人员减少，人员经费结余较上年增加。</w:t>
      </w:r>
    </w:p>
    <w:p w14:paraId="6B3436F3">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58D8F6C9">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2DE52174">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1615.26</w:t>
      </w:r>
      <w:r>
        <w:rPr>
          <w:rFonts w:hint="eastAsia" w:ascii="仿宋_GB2312" w:eastAsia="仿宋_GB2312"/>
          <w:sz w:val="28"/>
          <w:szCs w:val="28"/>
        </w:rPr>
        <w:t>万元，主要用于以下方面（按大类）：文化旅游体育与传媒支出1475.90万元，占本年财政拨款支出91.37%；社会保障和就业支出81.33万元，占本年财政拨款支出5.04%；卫生健康支出58.03万元，占本年财政拨款支出3.59%。</w:t>
      </w:r>
    </w:p>
    <w:p w14:paraId="5CF792A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（二）一般公共预算财政拨款支出决算具体情况</w:t>
      </w:r>
    </w:p>
    <w:p w14:paraId="18C624F8">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1、“文化旅游体育与传媒支出”（类）2024年度年初预算1673.69万元，2024年度决算1475.90万元，完成年初预算的88.18%。其中：</w:t>
      </w:r>
    </w:p>
    <w:p w14:paraId="26DF943F">
      <w:pPr>
        <w:spacing w:line="580" w:lineRule="exact"/>
        <w:ind w:firstLine="560" w:firstLineChars="200"/>
        <w:rPr>
          <w:rFonts w:ascii="仿宋_GB2312" w:eastAsia="仿宋_GB2312"/>
          <w:sz w:val="28"/>
          <w:szCs w:val="28"/>
        </w:rPr>
      </w:pPr>
      <w:r>
        <w:rPr>
          <w:rFonts w:hint="eastAsia" w:ascii="仿宋_GB2312" w:eastAsia="仿宋_GB2312"/>
          <w:sz w:val="28"/>
          <w:szCs w:val="28"/>
        </w:rPr>
        <w:t>“新闻出版电影”（款）2024年度年初预算1673.69万元，2024年度决算1475.90万元，完成年初预算的88.18%。主要原因：严格落实政府过紧日子要求，厉行节约，压缩一般性支出。</w:t>
      </w:r>
    </w:p>
    <w:p w14:paraId="0B7D69C3">
      <w:pPr>
        <w:spacing w:line="580" w:lineRule="exact"/>
        <w:ind w:firstLine="560" w:firstLineChars="200"/>
        <w:rPr>
          <w:rFonts w:ascii="仿宋_GB2312" w:eastAsia="仿宋_GB2312"/>
          <w:sz w:val="28"/>
          <w:szCs w:val="28"/>
        </w:rPr>
      </w:pPr>
      <w:r>
        <w:rPr>
          <w:rFonts w:hint="eastAsia" w:ascii="仿宋_GB2312" w:eastAsia="仿宋_GB2312"/>
          <w:sz w:val="28"/>
          <w:szCs w:val="28"/>
        </w:rPr>
        <w:t>2、“社会保障和就业支出”(类)2024年度年初预算108.32万元，2024年度决算81.33万元，完成年初预算的75.08%。其中：</w:t>
      </w:r>
    </w:p>
    <w:p w14:paraId="7E246D65">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“行政事业单位养老支出”（款）2024年度年初预算108.32万元，2024年度决算81.33万元，完成年初预算的75.08%。主要原因：严格按照实有人数与缴费比率缴纳社保经费。</w:t>
      </w:r>
    </w:p>
    <w:p w14:paraId="2269B93E">
      <w:pPr>
        <w:spacing w:line="580" w:lineRule="exact"/>
        <w:ind w:firstLine="560" w:firstLineChars="200"/>
        <w:rPr>
          <w:rFonts w:ascii="仿宋_GB2312" w:eastAsia="仿宋_GB2312"/>
          <w:sz w:val="28"/>
          <w:szCs w:val="28"/>
        </w:rPr>
      </w:pPr>
      <w:r>
        <w:rPr>
          <w:rFonts w:hint="eastAsia" w:ascii="仿宋_GB2312" w:eastAsia="仿宋_GB2312"/>
          <w:sz w:val="28"/>
          <w:szCs w:val="28"/>
        </w:rPr>
        <w:t>3、“卫生健康支出”(类) 2024年度年初预算76.14万元，2024年度决算58.03万元，完成年初预算的76.21%。其中：</w:t>
      </w:r>
    </w:p>
    <w:p w14:paraId="478D6DA4">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“行政事业单位医疗”（款）2024年度年初预算76.14万元，2024年度决算58.03万元，完成年初预算的76.21%。主要原因：严格按照实有人数与缴费比率缴纳社保经费。</w:t>
      </w:r>
    </w:p>
    <w:p w14:paraId="455E9077">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289573C7">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0E831B2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2024年度政府性基金预算财政拨款支出</w:t>
      </w:r>
      <w:r>
        <w:rPr>
          <w:rFonts w:ascii="仿宋_GB2312" w:eastAsia="仿宋_GB2312"/>
          <w:sz w:val="28"/>
          <w:szCs w:val="28"/>
        </w:rPr>
        <w:t>0</w:t>
      </w:r>
      <w:r>
        <w:rPr>
          <w:rFonts w:hint="eastAsia" w:ascii="仿宋_GB2312" w:eastAsia="仿宋_GB2312"/>
          <w:sz w:val="28"/>
          <w:szCs w:val="28"/>
        </w:rPr>
        <w:t>万元。</w:t>
      </w:r>
    </w:p>
    <w:p w14:paraId="7A5629E6">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0F13AFC">
      <w:pPr>
        <w:ind w:firstLine="537" w:firstLineChars="192"/>
        <w:rPr>
          <w:rFonts w:ascii="仿宋_GB2312" w:eastAsia="仿宋_GB2312"/>
          <w:sz w:val="28"/>
          <w:szCs w:val="28"/>
        </w:rPr>
      </w:pPr>
      <w:r>
        <w:rPr>
          <w:rFonts w:hint="eastAsia" w:ascii="仿宋_GB2312" w:eastAsia="仿宋_GB2312"/>
          <w:sz w:val="28"/>
          <w:szCs w:val="28"/>
        </w:rPr>
        <w:t>2024年度国有资本经营预算财政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1E32124F">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3351F205">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760.03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6CB0F1D6">
      <w:pPr>
        <w:autoSpaceDE w:val="0"/>
        <w:autoSpaceDN w:val="0"/>
        <w:adjustRightInd w:val="0"/>
        <w:spacing w:line="580" w:lineRule="exact"/>
        <w:rPr>
          <w:rFonts w:ascii="仿宋_GB2312" w:eastAsia="仿宋_GB2312"/>
          <w:b/>
          <w:sz w:val="32"/>
          <w:szCs w:val="32"/>
        </w:rPr>
      </w:pPr>
      <w:r>
        <w:rPr>
          <w:rFonts w:ascii="仿宋_GB2312" w:eastAsia="仿宋_GB2312"/>
          <w:b/>
          <w:sz w:val="32"/>
          <w:szCs w:val="32"/>
        </w:rPr>
        <w:tab/>
      </w:r>
    </w:p>
    <w:p w14:paraId="76CF2257">
      <w:pPr>
        <w:pStyle w:val="2"/>
      </w:pPr>
    </w:p>
    <w:p w14:paraId="403E2722"/>
    <w:p w14:paraId="2CC2497E">
      <w:pPr>
        <w:pStyle w:val="2"/>
      </w:pPr>
    </w:p>
    <w:p w14:paraId="1C109F48"/>
    <w:p w14:paraId="09137580">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07089B14">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1100EEE0">
      <w:pPr>
        <w:spacing w:line="560" w:lineRule="exact"/>
        <w:ind w:firstLine="600"/>
        <w:rPr>
          <w:rFonts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0</w:t>
      </w:r>
      <w:r>
        <w:rPr>
          <w:rFonts w:hint="eastAsia" w:ascii="仿宋_GB2312" w:eastAsia="仿宋_GB2312"/>
          <w:sz w:val="28"/>
          <w:szCs w:val="28"/>
        </w:rPr>
        <w:t>万元，比2024年度“三公”经费财政拨款年初预算</w:t>
      </w:r>
      <w:r>
        <w:rPr>
          <w:rFonts w:ascii="仿宋_GB2312" w:eastAsia="仿宋_GB2312"/>
          <w:sz w:val="28"/>
          <w:szCs w:val="28"/>
        </w:rPr>
        <w:t>0.28</w:t>
      </w:r>
      <w:r>
        <w:rPr>
          <w:rFonts w:hint="eastAsia" w:ascii="仿宋_GB2312" w:eastAsia="仿宋_GB2312"/>
          <w:sz w:val="28"/>
          <w:szCs w:val="28"/>
        </w:rPr>
        <w:t>万元减少</w:t>
      </w:r>
      <w:r>
        <w:rPr>
          <w:rFonts w:ascii="仿宋_GB2312" w:eastAsia="仿宋_GB2312"/>
          <w:sz w:val="28"/>
          <w:szCs w:val="28"/>
        </w:rPr>
        <w:t>0.28</w:t>
      </w:r>
      <w:r>
        <w:rPr>
          <w:rFonts w:hint="eastAsia" w:ascii="仿宋_GB2312" w:eastAsia="仿宋_GB2312"/>
          <w:sz w:val="28"/>
          <w:szCs w:val="28"/>
        </w:rPr>
        <w:t>万元。其中：</w:t>
      </w:r>
    </w:p>
    <w:p w14:paraId="1EA3B6E1">
      <w:pPr>
        <w:spacing w:line="560" w:lineRule="exact"/>
        <w:ind w:firstLine="600"/>
        <w:rPr>
          <w:rFonts w:ascii="仿宋_GB2312" w:eastAsia="仿宋_GB2312"/>
          <w:sz w:val="28"/>
          <w:szCs w:val="28"/>
        </w:rPr>
      </w:pPr>
      <w:r>
        <w:rPr>
          <w:rFonts w:hint="eastAsia" w:ascii="仿宋_GB2312" w:eastAsia="仿宋_GB2312"/>
          <w:sz w:val="28"/>
          <w:szCs w:val="28"/>
        </w:rPr>
        <w:t>1.因公出国（境）费用。本单位无此项支出。</w:t>
      </w:r>
    </w:p>
    <w:p w14:paraId="71BD75CE">
      <w:pPr>
        <w:spacing w:line="560" w:lineRule="exact"/>
        <w:ind w:firstLine="600"/>
        <w:rPr>
          <w:rFonts w:ascii="仿宋_GB2312" w:eastAsia="仿宋_GB2312"/>
          <w:sz w:val="28"/>
          <w:szCs w:val="28"/>
        </w:rPr>
      </w:pPr>
      <w:r>
        <w:rPr>
          <w:rFonts w:hint="eastAsia" w:ascii="仿宋_GB2312" w:eastAsia="仿宋_GB2312"/>
          <w:sz w:val="28"/>
          <w:szCs w:val="28"/>
        </w:rPr>
        <w:t>2.公务接待费。2024年度决算数</w:t>
      </w:r>
      <w:r>
        <w:rPr>
          <w:rFonts w:ascii="仿宋_GB2312" w:eastAsia="仿宋_GB2312"/>
          <w:sz w:val="28"/>
          <w:szCs w:val="28"/>
        </w:rPr>
        <w:t>0</w:t>
      </w:r>
      <w:r>
        <w:rPr>
          <w:rFonts w:hint="eastAsia" w:ascii="仿宋_GB2312" w:eastAsia="仿宋_GB2312"/>
          <w:sz w:val="28"/>
          <w:szCs w:val="28"/>
        </w:rPr>
        <w:t>万元，比2024年度年初预算数</w:t>
      </w:r>
      <w:r>
        <w:rPr>
          <w:rFonts w:ascii="仿宋_GB2312" w:eastAsia="仿宋_GB2312"/>
          <w:sz w:val="28"/>
          <w:szCs w:val="28"/>
        </w:rPr>
        <w:t>0.28</w:t>
      </w:r>
      <w:r>
        <w:rPr>
          <w:rFonts w:hint="eastAsia" w:ascii="仿宋_GB2312" w:eastAsia="仿宋_GB2312"/>
          <w:sz w:val="28"/>
          <w:szCs w:val="28"/>
        </w:rPr>
        <w:t>万元减少</w:t>
      </w:r>
      <w:r>
        <w:rPr>
          <w:rFonts w:ascii="仿宋_GB2312" w:eastAsia="仿宋_GB2312"/>
          <w:sz w:val="28"/>
          <w:szCs w:val="28"/>
        </w:rPr>
        <w:t>0.28</w:t>
      </w:r>
      <w:r>
        <w:rPr>
          <w:rFonts w:hint="eastAsia" w:ascii="仿宋_GB2312" w:eastAsia="仿宋_GB2312"/>
          <w:sz w:val="28"/>
          <w:szCs w:val="28"/>
        </w:rPr>
        <w:t>万元。主要原因：落实政府过紧日子要求，厉行勤俭节约要求，进一步压缩公务接待费支出。</w:t>
      </w:r>
    </w:p>
    <w:p w14:paraId="005A39A9">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3.公务用车购置及运行维护费。本单位无此项支出。</w:t>
      </w:r>
    </w:p>
    <w:p w14:paraId="069BCB74">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11D46E42">
      <w:pPr>
        <w:ind w:firstLine="537" w:firstLineChars="192"/>
        <w:rPr>
          <w:rFonts w:ascii="仿宋_GB2312" w:eastAsia="仿宋_GB2312"/>
          <w:sz w:val="28"/>
          <w:szCs w:val="28"/>
        </w:rPr>
      </w:pPr>
      <w:r>
        <w:rPr>
          <w:rFonts w:hint="eastAsia" w:ascii="仿宋_GB2312" w:eastAsia="仿宋_GB2312"/>
          <w:sz w:val="28"/>
          <w:szCs w:val="28"/>
        </w:rPr>
        <w:t>本单位不在机关运行经费统计范围之内。</w:t>
      </w:r>
    </w:p>
    <w:p w14:paraId="5E37D09E">
      <w:pPr>
        <w:ind w:left="540"/>
        <w:rPr>
          <w:rFonts w:ascii="黑体" w:eastAsia="黑体"/>
          <w:sz w:val="28"/>
          <w:szCs w:val="28"/>
        </w:rPr>
      </w:pPr>
      <w:r>
        <w:rPr>
          <w:rFonts w:hint="eastAsia" w:ascii="黑体" w:eastAsia="黑体"/>
          <w:sz w:val="28"/>
          <w:szCs w:val="28"/>
        </w:rPr>
        <w:t>三、政府采购支出情况</w:t>
      </w:r>
    </w:p>
    <w:p w14:paraId="581275B2">
      <w:pPr>
        <w:ind w:firstLine="537" w:firstLineChars="192"/>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801.7</w:t>
      </w:r>
      <w:r>
        <w:rPr>
          <w:rFonts w:hint="eastAsia" w:ascii="仿宋_GB2312" w:eastAsia="仿宋_GB2312"/>
          <w:sz w:val="28"/>
          <w:szCs w:val="28"/>
        </w:rPr>
        <w:t>0万元，其中：政府采购货物支出</w:t>
      </w:r>
      <w:r>
        <w:rPr>
          <w:rFonts w:ascii="仿宋_GB2312" w:eastAsia="仿宋_GB2312"/>
          <w:sz w:val="28"/>
          <w:szCs w:val="28"/>
        </w:rPr>
        <w:t>0.3</w:t>
      </w:r>
      <w:r>
        <w:rPr>
          <w:rFonts w:hint="eastAsia" w:ascii="仿宋_GB2312" w:eastAsia="仿宋_GB2312"/>
          <w:sz w:val="28"/>
          <w:szCs w:val="28"/>
        </w:rPr>
        <w:t>0万元，政府采购工程支出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801.4</w:t>
      </w:r>
      <w:r>
        <w:rPr>
          <w:rFonts w:hint="eastAsia" w:ascii="仿宋_GB2312" w:eastAsia="仿宋_GB2312"/>
          <w:sz w:val="28"/>
          <w:szCs w:val="28"/>
        </w:rPr>
        <w:t>0万元。授予中小企业合同金额</w:t>
      </w:r>
      <w:r>
        <w:rPr>
          <w:rFonts w:ascii="仿宋_GB2312" w:eastAsia="仿宋_GB2312"/>
          <w:sz w:val="28"/>
          <w:szCs w:val="28"/>
        </w:rPr>
        <w:t>393.3</w:t>
      </w:r>
      <w:r>
        <w:rPr>
          <w:rFonts w:hint="eastAsia" w:ascii="仿宋_GB2312" w:eastAsia="仿宋_GB2312"/>
          <w:sz w:val="28"/>
          <w:szCs w:val="28"/>
        </w:rPr>
        <w:t>0万元，占政府采购支出总额的49.06%，其中：授予小微企业合同金额</w:t>
      </w:r>
      <w:r>
        <w:rPr>
          <w:rFonts w:ascii="仿宋_GB2312" w:eastAsia="仿宋_GB2312"/>
          <w:sz w:val="28"/>
          <w:szCs w:val="28"/>
        </w:rPr>
        <w:t>393.3</w:t>
      </w:r>
      <w:r>
        <w:rPr>
          <w:rFonts w:hint="eastAsia" w:ascii="仿宋_GB2312" w:eastAsia="仿宋_GB2312"/>
          <w:sz w:val="28"/>
          <w:szCs w:val="28"/>
        </w:rPr>
        <w:t>0万元，占政府采购支出总额的</w:t>
      </w:r>
      <w:r>
        <w:rPr>
          <w:rFonts w:ascii="仿宋_GB2312" w:eastAsia="仿宋_GB2312"/>
          <w:sz w:val="28"/>
          <w:szCs w:val="28"/>
        </w:rPr>
        <w:t>49.06</w:t>
      </w:r>
      <w:r>
        <w:rPr>
          <w:rFonts w:hint="eastAsia" w:ascii="仿宋_GB2312" w:eastAsia="仿宋_GB2312"/>
          <w:sz w:val="28"/>
          <w:szCs w:val="28"/>
        </w:rPr>
        <w:t>%。</w:t>
      </w:r>
    </w:p>
    <w:p w14:paraId="53F69077">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61D714CB">
      <w:pPr>
        <w:ind w:firstLine="560" w:firstLineChars="200"/>
        <w:rPr>
          <w:rFonts w:ascii="仿宋_GB2312" w:eastAsia="仿宋_GB2312"/>
          <w:sz w:val="32"/>
          <w:szCs w:val="32"/>
        </w:rPr>
      </w:pPr>
      <w:r>
        <w:rPr>
          <w:rFonts w:hint="eastAsia" w:ascii="仿宋_GB2312" w:eastAsia="仿宋_GB2312"/>
          <w:sz w:val="28"/>
          <w:szCs w:val="28"/>
        </w:rPr>
        <w:t>截至12月31日，北京市版权保护中心共有车辆0台；单位价值100万元（含）以上的设备0台（套）。</w:t>
      </w:r>
    </w:p>
    <w:p w14:paraId="6DD78532">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371D0447">
      <w:pPr>
        <w:ind w:firstLine="537" w:firstLineChars="192"/>
        <w:rPr>
          <w:rFonts w:ascii="仿宋_GB2312" w:eastAsia="仿宋_GB2312"/>
          <w:sz w:val="28"/>
          <w:szCs w:val="28"/>
        </w:rPr>
      </w:pPr>
      <w:r>
        <w:rPr>
          <w:rFonts w:hint="eastAsia" w:ascii="仿宋_GB2312" w:eastAsia="仿宋_GB2312"/>
          <w:sz w:val="28"/>
          <w:szCs w:val="28"/>
        </w:rPr>
        <w:t>2024年度</w:t>
      </w:r>
      <w:r>
        <w:rPr>
          <w:rFonts w:ascii="仿宋_GB2312" w:eastAsia="仿宋_GB2312"/>
          <w:sz w:val="28"/>
          <w:szCs w:val="28"/>
        </w:rPr>
        <w:t>政府购买服务决算0</w:t>
      </w:r>
      <w:r>
        <w:rPr>
          <w:rFonts w:hint="eastAsia" w:ascii="仿宋_GB2312" w:eastAsia="仿宋_GB2312"/>
          <w:sz w:val="28"/>
          <w:szCs w:val="28"/>
        </w:rPr>
        <w:t>万元。</w:t>
      </w:r>
    </w:p>
    <w:p w14:paraId="286BBD1C">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75E65580">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613EA62F">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73E9C85C">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DF4F553">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759516AD">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2BE7855">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CC9E783">
      <w:pPr>
        <w:ind w:firstLine="420" w:firstLineChars="150"/>
        <w:rPr>
          <w:rFonts w:ascii="仿宋_GB2312" w:eastAsia="仿宋_GB2312"/>
          <w:sz w:val="28"/>
          <w:szCs w:val="28"/>
        </w:rPr>
      </w:pPr>
      <w:r>
        <w:rPr>
          <w:rFonts w:hint="eastAsia" w:ascii="仿宋_GB2312" w:eastAsia="仿宋_GB2312"/>
          <w:sz w:val="28"/>
          <w:szCs w:val="28"/>
        </w:rPr>
        <w:t>7.支出功能分类名词解释：</w:t>
      </w:r>
    </w:p>
    <w:p w14:paraId="44330349">
      <w:pPr>
        <w:ind w:firstLine="420" w:firstLineChars="150"/>
      </w:pPr>
      <w:r>
        <w:rPr>
          <w:rFonts w:hint="eastAsia" w:ascii="仿宋_GB2312" w:eastAsia="仿宋_GB2312"/>
          <w:sz w:val="28"/>
          <w:szCs w:val="28"/>
        </w:rPr>
        <w:t>教育支出（类）进修及培训（款）培训支出（项）：反映各部门安排的用于培训的支出。</w:t>
      </w:r>
    </w:p>
    <w:p w14:paraId="51FCABD3">
      <w:pPr>
        <w:ind w:firstLine="420" w:firstLineChars="150"/>
        <w:rPr>
          <w:rFonts w:ascii="仿宋_GB2312" w:eastAsia="仿宋_GB2312"/>
          <w:sz w:val="28"/>
          <w:szCs w:val="28"/>
        </w:rPr>
      </w:pPr>
      <w:r>
        <w:rPr>
          <w:rFonts w:hint="eastAsia" w:ascii="仿宋_GB2312" w:eastAsia="仿宋_GB2312"/>
          <w:sz w:val="28"/>
          <w:szCs w:val="28"/>
        </w:rPr>
        <w:t>文化旅游体育与传媒支出（类）新闻出版电影（款）版权管理（项）：反映版权管理方面的支出。</w:t>
      </w:r>
    </w:p>
    <w:p w14:paraId="6F003CCC">
      <w:pPr>
        <w:ind w:firstLine="420" w:firstLineChars="150"/>
        <w:rPr>
          <w:rFonts w:ascii="仿宋_GB2312" w:eastAsia="仿宋_GB2312"/>
          <w:sz w:val="28"/>
          <w:szCs w:val="28"/>
        </w:rPr>
      </w:pPr>
      <w:r>
        <w:rPr>
          <w:rFonts w:hint="eastAsia" w:ascii="仿宋_GB2312" w:eastAsia="仿宋_GB2312"/>
          <w:sz w:val="28"/>
          <w:szCs w:val="28"/>
        </w:rPr>
        <w:t>社会保障和就业支出（类）行政事业单位养老支出（款）机关事业单位基本养老保险缴费支出（项）：反映机关事业单位实施养老保险制度由单位实际缴纳的基本养老保险费支出。</w:t>
      </w:r>
    </w:p>
    <w:p w14:paraId="4814BF35">
      <w:pPr>
        <w:ind w:firstLine="420" w:firstLineChars="150"/>
        <w:rPr>
          <w:rFonts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社会保障和就业支出（类）行政事业单位养老支出（款）机关事业单位职业年金缴费支出（项）：反映机关事业单位实施养老保险制度由单位实际缴纳的职业年金支出（含职业年金补记支出）。</w:t>
      </w:r>
    </w:p>
    <w:p w14:paraId="27F0C3AA">
      <w:pPr>
        <w:ind w:firstLine="420" w:firstLineChars="150"/>
        <w:rPr>
          <w:rFonts w:ascii="仿宋_GB2312" w:eastAsia="仿宋_GB2312"/>
          <w:sz w:val="28"/>
          <w:szCs w:val="28"/>
        </w:rPr>
      </w:pPr>
      <w:r>
        <w:rPr>
          <w:rFonts w:hint="eastAsia" w:ascii="仿宋_GB2312" w:eastAsia="仿宋_GB2312"/>
          <w:sz w:val="28"/>
          <w:szCs w:val="28"/>
        </w:rPr>
        <w:t>卫生健康支出（类）行政事业单位医疗（款）事业单位医疗（项）：反映财政部门安排的事业单位基本医疗保险缴费经费，未参加医疗保险的事业单位的公费医疗经费，按国家规定享受离休人员待遇的医疗经费。</w:t>
      </w:r>
    </w:p>
    <w:p w14:paraId="770A0889">
      <w:pPr>
        <w:rPr>
          <w:rFonts w:ascii="黑体" w:eastAsia="黑体"/>
          <w:sz w:val="32"/>
          <w:szCs w:val="32"/>
        </w:rPr>
      </w:pPr>
    </w:p>
    <w:p w14:paraId="1DD204FA">
      <w:pPr>
        <w:tabs>
          <w:tab w:val="center" w:pos="6979"/>
        </w:tabs>
        <w:spacing w:line="380" w:lineRule="exact"/>
        <w:jc w:val="center"/>
        <w:rPr>
          <w:rFonts w:ascii="宋体" w:hAnsi="宋体" w:cs="宋体"/>
          <w:b/>
          <w:bCs/>
          <w:kern w:val="0"/>
          <w:sz w:val="28"/>
          <w:szCs w:val="28"/>
        </w:rPr>
      </w:pPr>
    </w:p>
    <w:p w14:paraId="1EF491EF">
      <w:pPr>
        <w:tabs>
          <w:tab w:val="center" w:pos="6979"/>
        </w:tabs>
        <w:spacing w:line="380" w:lineRule="exact"/>
        <w:jc w:val="center"/>
        <w:rPr>
          <w:rFonts w:ascii="宋体" w:hAnsi="宋体" w:cs="宋体"/>
          <w:b/>
          <w:bCs/>
          <w:kern w:val="0"/>
          <w:sz w:val="28"/>
          <w:szCs w:val="28"/>
        </w:rPr>
      </w:pPr>
    </w:p>
    <w:p w14:paraId="4F024361">
      <w:pPr>
        <w:rPr>
          <w:rFonts w:ascii="黑体" w:eastAsia="黑体"/>
          <w:sz w:val="32"/>
          <w:szCs w:val="32"/>
        </w:rPr>
      </w:pPr>
    </w:p>
    <w:p w14:paraId="4CDB2DCC">
      <w:pPr>
        <w:pStyle w:val="2"/>
      </w:pPr>
    </w:p>
    <w:p w14:paraId="7D795C61">
      <w:pPr>
        <w:ind w:firstLine="640" w:firstLineChars="200"/>
        <w:jc w:val="center"/>
        <w:rPr>
          <w:rFonts w:ascii="黑体" w:eastAsia="黑体"/>
          <w:sz w:val="32"/>
          <w:szCs w:val="32"/>
        </w:rPr>
      </w:pPr>
    </w:p>
    <w:p w14:paraId="5149801A">
      <w:pPr>
        <w:ind w:firstLine="640" w:firstLineChars="200"/>
        <w:jc w:val="center"/>
        <w:rPr>
          <w:rFonts w:ascii="黑体" w:eastAsia="黑体"/>
          <w:sz w:val="32"/>
          <w:szCs w:val="32"/>
        </w:rPr>
      </w:pPr>
      <w:r>
        <w:rPr>
          <w:rFonts w:hint="eastAsia" w:ascii="黑体" w:eastAsia="黑体"/>
          <w:sz w:val="32"/>
          <w:szCs w:val="32"/>
        </w:rPr>
        <w:t>第四部分  2024年度部门绩效评价情况</w:t>
      </w:r>
    </w:p>
    <w:p w14:paraId="1E014BEE">
      <w:pPr>
        <w:ind w:firstLine="560" w:firstLineChars="200"/>
        <w:rPr>
          <w:rFonts w:ascii="黑体" w:eastAsia="黑体"/>
          <w:sz w:val="28"/>
          <w:szCs w:val="28"/>
          <w:highlight w:val="yellow"/>
        </w:rPr>
      </w:pPr>
    </w:p>
    <w:p w14:paraId="2CB3A513">
      <w:pPr>
        <w:ind w:firstLine="280" w:firstLineChars="100"/>
        <w:rPr>
          <w:rFonts w:ascii="黑体" w:eastAsia="黑体"/>
          <w:sz w:val="28"/>
          <w:szCs w:val="28"/>
        </w:rPr>
      </w:pPr>
      <w:bookmarkStart w:id="0" w:name="_GoBack"/>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bookmarkEnd w:id="0"/>
    <w:p w14:paraId="05396FBF">
      <w:pPr>
        <w:spacing w:line="480" w:lineRule="exact"/>
        <w:rPr>
          <w:rFonts w:hint="default" w:ascii="仿宋_GB2312" w:hAnsi="仿宋_GB2312" w:eastAsia="仿宋_GB2312" w:cs="仿宋_GB2312"/>
          <w:sz w:val="32"/>
          <w:szCs w:val="32"/>
          <w:lang w:val="en-US" w:eastAsia="zh-CN"/>
        </w:rPr>
      </w:pPr>
    </w:p>
    <w:p w14:paraId="09AA15CD">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97C48">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7816E2A0">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EC574">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12</w:t>
    </w:r>
    <w:r>
      <w:fldChar w:fldCharType="end"/>
    </w:r>
  </w:p>
  <w:p w14:paraId="1A33D5AF">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8D6E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7C074A58">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6E3"/>
    <w:rsid w:val="00033EC1"/>
    <w:rsid w:val="00034224"/>
    <w:rsid w:val="00034C70"/>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939CE"/>
    <w:rsid w:val="001A4277"/>
    <w:rsid w:val="001A7D2E"/>
    <w:rsid w:val="001B1DF9"/>
    <w:rsid w:val="001B1E93"/>
    <w:rsid w:val="001B375E"/>
    <w:rsid w:val="001B4A46"/>
    <w:rsid w:val="001B5E87"/>
    <w:rsid w:val="001B5E91"/>
    <w:rsid w:val="001B69BF"/>
    <w:rsid w:val="001B7988"/>
    <w:rsid w:val="001D2A2E"/>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95614"/>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0CFB"/>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74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27620"/>
    <w:rsid w:val="005346B3"/>
    <w:rsid w:val="00535040"/>
    <w:rsid w:val="0054051C"/>
    <w:rsid w:val="00546A84"/>
    <w:rsid w:val="00547BE2"/>
    <w:rsid w:val="0055353D"/>
    <w:rsid w:val="0056187C"/>
    <w:rsid w:val="00576B03"/>
    <w:rsid w:val="00581E1A"/>
    <w:rsid w:val="00591655"/>
    <w:rsid w:val="00591BEC"/>
    <w:rsid w:val="005940EA"/>
    <w:rsid w:val="00594448"/>
    <w:rsid w:val="005A1D6F"/>
    <w:rsid w:val="005A430E"/>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A5A15"/>
    <w:rsid w:val="006B0CB9"/>
    <w:rsid w:val="006B2609"/>
    <w:rsid w:val="006B2750"/>
    <w:rsid w:val="006B3678"/>
    <w:rsid w:val="006B7390"/>
    <w:rsid w:val="006C0084"/>
    <w:rsid w:val="006C107D"/>
    <w:rsid w:val="006C3600"/>
    <w:rsid w:val="006C4534"/>
    <w:rsid w:val="006C4E38"/>
    <w:rsid w:val="006C5205"/>
    <w:rsid w:val="006C75F6"/>
    <w:rsid w:val="006D3F53"/>
    <w:rsid w:val="006D60AF"/>
    <w:rsid w:val="006E4722"/>
    <w:rsid w:val="00701651"/>
    <w:rsid w:val="007049BF"/>
    <w:rsid w:val="00704E79"/>
    <w:rsid w:val="00707A26"/>
    <w:rsid w:val="0071120F"/>
    <w:rsid w:val="00716380"/>
    <w:rsid w:val="00722165"/>
    <w:rsid w:val="00724B1C"/>
    <w:rsid w:val="00731034"/>
    <w:rsid w:val="007428F0"/>
    <w:rsid w:val="007512EF"/>
    <w:rsid w:val="007551AC"/>
    <w:rsid w:val="0076101C"/>
    <w:rsid w:val="00763D87"/>
    <w:rsid w:val="007670B2"/>
    <w:rsid w:val="00771795"/>
    <w:rsid w:val="007718E9"/>
    <w:rsid w:val="00774925"/>
    <w:rsid w:val="0079279F"/>
    <w:rsid w:val="00793E69"/>
    <w:rsid w:val="007A063C"/>
    <w:rsid w:val="007A16B0"/>
    <w:rsid w:val="007A19EA"/>
    <w:rsid w:val="007A2F28"/>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D3E3E"/>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4538D"/>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4274"/>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223F"/>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0A4C"/>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D5B57"/>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298"/>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8376977"/>
    <w:rsid w:val="0BA148CA"/>
    <w:rsid w:val="0C1165C4"/>
    <w:rsid w:val="0D6D544B"/>
    <w:rsid w:val="0DD136FE"/>
    <w:rsid w:val="0F8E2C57"/>
    <w:rsid w:val="1059665E"/>
    <w:rsid w:val="10AC13BA"/>
    <w:rsid w:val="145A6C1B"/>
    <w:rsid w:val="14B73493"/>
    <w:rsid w:val="16516194"/>
    <w:rsid w:val="167A2FF9"/>
    <w:rsid w:val="18581C69"/>
    <w:rsid w:val="1AEC0734"/>
    <w:rsid w:val="1DEF20B0"/>
    <w:rsid w:val="214243FA"/>
    <w:rsid w:val="21AD613C"/>
    <w:rsid w:val="22467189"/>
    <w:rsid w:val="24B45F5F"/>
    <w:rsid w:val="257A14F5"/>
    <w:rsid w:val="27196C26"/>
    <w:rsid w:val="29EF086F"/>
    <w:rsid w:val="2DA41B2C"/>
    <w:rsid w:val="2EFFE297"/>
    <w:rsid w:val="301437CA"/>
    <w:rsid w:val="349D1F0A"/>
    <w:rsid w:val="34DD0473"/>
    <w:rsid w:val="37B81675"/>
    <w:rsid w:val="3C684897"/>
    <w:rsid w:val="433E495C"/>
    <w:rsid w:val="489F2FD7"/>
    <w:rsid w:val="4AC27CB3"/>
    <w:rsid w:val="4BED38AE"/>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delete val="1"/>
            </c:dLbl>
            <c:dLbl>
              <c:idx val="3"/>
              <c:delete val="1"/>
            </c:dLbl>
            <c:dLbl>
              <c:idx val="4"/>
              <c:delete val="1"/>
            </c:dLbl>
            <c:dLbl>
              <c:idx val="5"/>
              <c:delete val="1"/>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1860.15</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9b07268-72a7-4538-8c99-ebc3db1753a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760.03</c:v>
                </c:pt>
                <c:pt idx="1">
                  <c:v>855.23</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44f4040-a346-4401-b027-d7563d22216e}"/>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3331</Words>
  <Characters>3738</Characters>
  <Lines>27</Lines>
  <Paragraphs>7</Paragraphs>
  <TotalTime>0</TotalTime>
  <ScaleCrop>false</ScaleCrop>
  <LinksUpToDate>false</LinksUpToDate>
  <CharactersWithSpaces>3762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2025-08-21T07:10:00Z</cp:lastPrinted>
  <dcterms:modified xsi:type="dcterms:W3CDTF">2025-09-08T01:55:45Z</dcterms:modified>
  <dc:title>北京市财政局关于做好向市人大常委会报送2015年度市级部门决算（草案）</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FB0DC170FF054E679390828847467BC1_13</vt:lpwstr>
  </property>
  <property fmtid="{D5CDD505-2E9C-101B-9397-08002B2CF9AE}" pid="4" name="KSOTemplateDocerSaveRecord">
    <vt:lpwstr>eyJoZGlkIjoiMzlhNDkwZDM5NGFjYTEzMDlkYzJlMmY3ZGQ4MDEyZjciLCJ1c2VySWQiOiIxMzAzMzM4OTAyIn0=</vt:lpwstr>
  </property>
</Properties>
</file>