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2A634">
      <w:pPr>
        <w:jc w:val="center"/>
        <w:rPr>
          <w:rFonts w:hint="eastAsia" w:ascii="仿宋_GB2312" w:eastAsia="仿宋_GB2312"/>
          <w:b/>
          <w:sz w:val="32"/>
          <w:szCs w:val="32"/>
        </w:rPr>
      </w:pPr>
    </w:p>
    <w:p w14:paraId="18FF3DEA">
      <w:pPr>
        <w:jc w:val="center"/>
        <w:rPr>
          <w:rFonts w:ascii="黑体" w:eastAsia="黑体"/>
          <w:sz w:val="72"/>
          <w:szCs w:val="72"/>
        </w:rPr>
      </w:pPr>
    </w:p>
    <w:p w14:paraId="70D69FAE">
      <w:pPr>
        <w:jc w:val="center"/>
        <w:rPr>
          <w:rFonts w:ascii="黑体" w:eastAsia="黑体"/>
          <w:sz w:val="72"/>
          <w:szCs w:val="72"/>
        </w:rPr>
      </w:pPr>
    </w:p>
    <w:p w14:paraId="18356D18">
      <w:pPr>
        <w:jc w:val="center"/>
        <w:rPr>
          <w:rFonts w:ascii="黑体" w:eastAsia="黑体"/>
          <w:sz w:val="72"/>
          <w:szCs w:val="72"/>
        </w:rPr>
      </w:pPr>
    </w:p>
    <w:p w14:paraId="34591980">
      <w:pPr>
        <w:ind w:firstLine="2880" w:firstLineChars="400"/>
        <w:jc w:val="both"/>
        <w:rPr>
          <w:rFonts w:hint="eastAsia" w:ascii="黑体" w:eastAsia="黑体"/>
          <w:sz w:val="72"/>
          <w:szCs w:val="72"/>
          <w:lang w:val="en-US" w:eastAsia="zh-CN"/>
        </w:rPr>
      </w:pPr>
      <w:r>
        <w:rPr>
          <w:rFonts w:hint="eastAsia" w:ascii="黑体" w:eastAsia="黑体"/>
          <w:sz w:val="72"/>
          <w:szCs w:val="72"/>
          <w:lang w:val="en-US" w:eastAsia="zh-CN"/>
        </w:rPr>
        <w:t>北京市出版事业发展中心</w:t>
      </w:r>
    </w:p>
    <w:p w14:paraId="5EDAB446">
      <w:pPr>
        <w:jc w:val="center"/>
        <w:rPr>
          <w:rFonts w:ascii="黑体" w:eastAsia="黑体"/>
          <w:sz w:val="72"/>
          <w:szCs w:val="72"/>
        </w:rPr>
      </w:pPr>
      <w:r>
        <w:rPr>
          <w:rFonts w:hint="eastAsia" w:ascii="黑体" w:eastAsia="黑体"/>
          <w:sz w:val="72"/>
          <w:szCs w:val="72"/>
        </w:rPr>
        <w:t>2024年度部门决算（公开</w:t>
      </w:r>
      <w:r>
        <w:rPr>
          <w:rFonts w:ascii="黑体" w:eastAsia="黑体"/>
          <w:sz w:val="72"/>
          <w:szCs w:val="72"/>
        </w:rPr>
        <w:t>）</w:t>
      </w:r>
    </w:p>
    <w:p w14:paraId="31380C78">
      <w:pPr>
        <w:jc w:val="center"/>
        <w:rPr>
          <w:rFonts w:ascii="黑体" w:eastAsia="黑体"/>
          <w:sz w:val="52"/>
          <w:szCs w:val="52"/>
        </w:rPr>
      </w:pPr>
    </w:p>
    <w:p w14:paraId="60D446F3">
      <w:pPr>
        <w:jc w:val="center"/>
        <w:rPr>
          <w:rFonts w:ascii="黑体" w:eastAsia="黑体"/>
          <w:sz w:val="52"/>
          <w:szCs w:val="52"/>
        </w:rPr>
      </w:pPr>
    </w:p>
    <w:p w14:paraId="3A247384">
      <w:pPr>
        <w:jc w:val="center"/>
        <w:rPr>
          <w:rFonts w:ascii="黑体" w:eastAsia="黑体"/>
          <w:sz w:val="52"/>
          <w:szCs w:val="52"/>
        </w:rPr>
      </w:pPr>
    </w:p>
    <w:p w14:paraId="41600BD2">
      <w:pPr>
        <w:jc w:val="center"/>
        <w:rPr>
          <w:rFonts w:ascii="黑体" w:eastAsia="黑体"/>
          <w:sz w:val="52"/>
          <w:szCs w:val="52"/>
        </w:rPr>
      </w:pPr>
    </w:p>
    <w:p w14:paraId="0C9B4E1A">
      <w:pPr>
        <w:jc w:val="center"/>
        <w:rPr>
          <w:rFonts w:ascii="黑体" w:eastAsia="黑体"/>
          <w:sz w:val="32"/>
          <w:szCs w:val="32"/>
        </w:rPr>
      </w:pPr>
    </w:p>
    <w:p w14:paraId="3D6DA0F3">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760CC73">
      <w:pPr>
        <w:spacing w:line="500" w:lineRule="exact"/>
        <w:ind w:firstLine="645"/>
        <w:jc w:val="center"/>
        <w:rPr>
          <w:rFonts w:ascii="宋体" w:hAnsi="宋体" w:cs="宋体"/>
          <w:b/>
          <w:bCs/>
          <w:kern w:val="0"/>
          <w:sz w:val="36"/>
          <w:szCs w:val="36"/>
        </w:rPr>
      </w:pPr>
    </w:p>
    <w:p w14:paraId="5A5FC7C4">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2024年度部门决算报表</w:t>
      </w:r>
    </w:p>
    <w:p w14:paraId="1D0FD22D">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5757D9D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2DD5F4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45D8CD2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66210D6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1A7B263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76BCC30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22D87BA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7F6119B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0A79EF6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6D5A237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7F8BB31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5DE33C28">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2024年度部门决算说明</w:t>
      </w:r>
    </w:p>
    <w:p w14:paraId="7333F56D">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435CA75D">
      <w:pPr>
        <w:tabs>
          <w:tab w:val="center" w:pos="6979"/>
        </w:tabs>
        <w:spacing w:line="500" w:lineRule="exact"/>
        <w:ind w:firstLine="1600" w:firstLineChars="400"/>
        <w:jc w:val="left"/>
        <w:rPr>
          <w:rFonts w:ascii="宋体" w:hAnsi="宋体" w:cs="宋体"/>
          <w:b/>
          <w:bCs/>
          <w:spacing w:val="40"/>
          <w:kern w:val="0"/>
          <w:sz w:val="32"/>
          <w:szCs w:val="32"/>
        </w:rPr>
      </w:pPr>
      <w:r>
        <w:rPr>
          <w:rFonts w:hint="eastAsia" w:ascii="宋体" w:hAnsi="宋体" w:cs="宋体"/>
          <w:spacing w:val="40"/>
          <w:kern w:val="0"/>
          <w:sz w:val="32"/>
          <w:szCs w:val="32"/>
        </w:rPr>
        <w:t>第四部分 2024年度部门绩效评价情况</w:t>
      </w:r>
    </w:p>
    <w:p w14:paraId="174933A4">
      <w:pPr>
        <w:tabs>
          <w:tab w:val="center" w:pos="6979"/>
        </w:tabs>
        <w:spacing w:before="156" w:beforeLines="50" w:after="156" w:afterLines="50"/>
        <w:jc w:val="center"/>
        <w:rPr>
          <w:rFonts w:ascii="宋体" w:hAnsi="宋体" w:cs="宋体"/>
          <w:b/>
          <w:bCs/>
          <w:spacing w:val="40"/>
          <w:kern w:val="0"/>
          <w:sz w:val="32"/>
          <w:szCs w:val="32"/>
        </w:rPr>
      </w:pPr>
    </w:p>
    <w:p w14:paraId="185F49C1">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2024年度部门决算报表</w:t>
      </w:r>
    </w:p>
    <w:p w14:paraId="282523A0">
      <w:pPr>
        <w:pStyle w:val="2"/>
        <w:rPr>
          <w:rFonts w:hint="eastAsia" w:eastAsia="仿宋_GB2312"/>
          <w:b w:val="0"/>
          <w:bCs w:val="0"/>
          <w:lang w:val="en-US" w:eastAsia="zh-CN"/>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570FA61">
      <w:pPr>
        <w:tabs>
          <w:tab w:val="center" w:pos="6979"/>
        </w:tabs>
        <w:spacing w:before="156" w:beforeLines="50" w:after="156" w:afterLines="50"/>
        <w:ind w:firstLine="4400" w:firstLineChars="1100"/>
        <w:jc w:val="both"/>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2024年度部门决算说明</w:t>
      </w:r>
    </w:p>
    <w:p w14:paraId="2573A945">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23D190D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根据《中共北京市委机构编制委员会关于市委宣传部所属事业单位改革有关事项的批复》（京编委</w:t>
      </w:r>
      <w:r>
        <w:rPr>
          <w:rFonts w:hint="eastAsia" w:ascii="宋体" w:hAnsi="宋体" w:cs="宋体"/>
          <w:sz w:val="28"/>
          <w:szCs w:val="28"/>
        </w:rPr>
        <w:t>﹝</w:t>
      </w:r>
      <w:r>
        <w:rPr>
          <w:rFonts w:hint="eastAsia" w:ascii="仿宋_GB2312" w:eastAsia="仿宋_GB2312"/>
          <w:sz w:val="28"/>
          <w:szCs w:val="28"/>
        </w:rPr>
        <w:t>2021</w:t>
      </w:r>
      <w:r>
        <w:rPr>
          <w:rFonts w:hint="eastAsia" w:ascii="宋体" w:hAnsi="宋体" w:cs="宋体"/>
          <w:sz w:val="28"/>
          <w:szCs w:val="28"/>
        </w:rPr>
        <w:t>﹞</w:t>
      </w:r>
      <w:r>
        <w:rPr>
          <w:rFonts w:hint="eastAsia" w:ascii="仿宋_GB2312" w:eastAsia="仿宋_GB2312"/>
          <w:sz w:val="28"/>
          <w:szCs w:val="28"/>
        </w:rPr>
        <w:t>146号），组建北京市出版事业发展中心，为中共北京市委宣传部所属正处级公益一类事业单位。主要职责是：承担本市出版产品质量监督检测和出版物鉴定、内容审读等出版发展服务方面的事务性工作。中心内设综合管理科、出版业务一科、出版业务二科、出版业务三科4个科室，无下属单位。</w:t>
      </w:r>
    </w:p>
    <w:p w14:paraId="471C8741">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335C9921">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1804.2</w:t>
      </w:r>
      <w:r>
        <w:rPr>
          <w:rFonts w:hint="eastAsia" w:ascii="仿宋_GB2312" w:eastAsia="仿宋_GB2312"/>
          <w:sz w:val="28"/>
          <w:szCs w:val="28"/>
        </w:rPr>
        <w:t>0万元，</w:t>
      </w:r>
      <w:r>
        <w:rPr>
          <w:rFonts w:ascii="仿宋_GB2312" w:eastAsia="仿宋_GB2312"/>
          <w:sz w:val="28"/>
          <w:szCs w:val="28"/>
        </w:rPr>
        <w:t>比上年增加</w:t>
      </w:r>
      <w:r>
        <w:rPr>
          <w:rFonts w:hint="eastAsia" w:ascii="仿宋_GB2312" w:eastAsia="仿宋_GB2312"/>
          <w:sz w:val="28"/>
          <w:szCs w:val="28"/>
        </w:rPr>
        <w:t>175.22万元，增长10.76%。</w:t>
      </w:r>
    </w:p>
    <w:p w14:paraId="2435651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1FD28E04">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1804.2</w:t>
      </w:r>
      <w:r>
        <w:rPr>
          <w:rFonts w:hint="eastAsia" w:ascii="仿宋_GB2312" w:eastAsia="仿宋_GB2312"/>
          <w:sz w:val="28"/>
          <w:szCs w:val="28"/>
        </w:rPr>
        <w:t>0万元，</w:t>
      </w:r>
      <w:r>
        <w:rPr>
          <w:rFonts w:ascii="仿宋_GB2312" w:eastAsia="仿宋_GB2312"/>
          <w:sz w:val="28"/>
          <w:szCs w:val="28"/>
        </w:rPr>
        <w:t>比上年增加</w:t>
      </w:r>
      <w:r>
        <w:rPr>
          <w:rFonts w:hint="eastAsia" w:ascii="仿宋_GB2312" w:eastAsia="仿宋_GB2312"/>
          <w:sz w:val="28"/>
          <w:szCs w:val="28"/>
        </w:rPr>
        <w:t>175.22万元，增长10.76%。</w:t>
      </w:r>
    </w:p>
    <w:p w14:paraId="710B949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1804.2</w:t>
      </w:r>
      <w:r>
        <w:rPr>
          <w:rFonts w:hint="eastAsia" w:ascii="仿宋_GB2312" w:eastAsia="仿宋_GB2312"/>
          <w:sz w:val="28"/>
          <w:szCs w:val="28"/>
        </w:rPr>
        <w:t>0万元，占收入合计的100%。其中：一般公共预算财政拨款收入</w:t>
      </w:r>
      <w:r>
        <w:rPr>
          <w:rFonts w:ascii="仿宋_GB2312" w:eastAsia="仿宋_GB2312"/>
          <w:sz w:val="28"/>
          <w:szCs w:val="28"/>
        </w:rPr>
        <w:t>1804.2</w:t>
      </w:r>
      <w:r>
        <w:rPr>
          <w:rFonts w:hint="eastAsia" w:ascii="仿宋_GB2312" w:eastAsia="仿宋_GB2312"/>
          <w:sz w:val="28"/>
          <w:szCs w:val="28"/>
        </w:rPr>
        <w:t>0万元，占收入合计的100%；政府性基金预算财政拨款收入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3849F78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2091FCB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13D7D00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178C412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091F01A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万元，占收入合计的0%。</w:t>
      </w:r>
    </w:p>
    <w:p w14:paraId="53C3CEE5">
      <w:pPr>
        <w:spacing w:line="560" w:lineRule="exact"/>
        <w:ind w:firstLine="640"/>
        <w:rPr>
          <w:rFonts w:ascii="仿宋_GB2312" w:eastAsia="仿宋_GB2312" w:cs="Droid Sans"/>
          <w:color w:val="000000"/>
          <w:sz w:val="32"/>
          <w:szCs w:val="32"/>
        </w:rPr>
      </w:pPr>
    </w:p>
    <w:p w14:paraId="57BAF867">
      <w:pPr>
        <w:pStyle w:val="2"/>
        <w:jc w:val="center"/>
        <w:rPr>
          <w:rFonts w:hint="eastAsia" w:eastAsia="仿宋_GB2312"/>
          <w:lang w:val="en-US" w:eastAsia="zh-CN"/>
        </w:rPr>
      </w:pPr>
      <w:r>
        <w:rPr>
          <w:rFonts w:hint="eastAsia" w:ascii="仿宋_GB2312" w:eastAsia="仿宋_GB2312"/>
          <w:color w:val="000000"/>
          <w:sz w:val="32"/>
        </w:rPr>
        <w:t>图1：收入</w:t>
      </w:r>
      <w:r>
        <w:rPr>
          <w:rFonts w:hint="eastAsia" w:ascii="仿宋_GB2312" w:eastAsia="仿宋_GB2312"/>
          <w:color w:val="000000"/>
          <w:sz w:val="32"/>
          <w:lang w:eastAsia="zh-CN"/>
        </w:rPr>
        <w:t>决算</w:t>
      </w:r>
    </w:p>
    <w:p w14:paraId="0DF95062">
      <w:pPr>
        <w:pStyle w:val="3"/>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9D16274">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735089F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1647.9</w:t>
      </w:r>
      <w:r>
        <w:rPr>
          <w:rFonts w:hint="eastAsia" w:ascii="仿宋_GB2312" w:eastAsia="仿宋_GB2312"/>
          <w:sz w:val="28"/>
          <w:szCs w:val="28"/>
        </w:rPr>
        <w:t>0万元，</w:t>
      </w:r>
      <w:r>
        <w:rPr>
          <w:rFonts w:ascii="仿宋_GB2312" w:eastAsia="仿宋_GB2312"/>
          <w:sz w:val="28"/>
          <w:szCs w:val="28"/>
        </w:rPr>
        <w:t>比上年增加</w:t>
      </w:r>
      <w:r>
        <w:rPr>
          <w:rFonts w:hint="eastAsia" w:ascii="仿宋_GB2312" w:eastAsia="仿宋_GB2312"/>
          <w:sz w:val="28"/>
          <w:szCs w:val="28"/>
        </w:rPr>
        <w:t>191.28万元，增长13.13%，其中：基本支出</w:t>
      </w:r>
      <w:r>
        <w:rPr>
          <w:rFonts w:ascii="仿宋_GB2312" w:eastAsia="仿宋_GB2312"/>
          <w:sz w:val="28"/>
          <w:szCs w:val="28"/>
        </w:rPr>
        <w:t>734.07</w:t>
      </w:r>
      <w:r>
        <w:rPr>
          <w:rFonts w:hint="eastAsia" w:ascii="仿宋_GB2312" w:eastAsia="仿宋_GB2312"/>
          <w:sz w:val="28"/>
          <w:szCs w:val="28"/>
        </w:rPr>
        <w:t>万元，占支出合计的44.55%；项目支出</w:t>
      </w:r>
      <w:r>
        <w:rPr>
          <w:rFonts w:ascii="仿宋_GB2312" w:eastAsia="仿宋_GB2312"/>
          <w:sz w:val="28"/>
          <w:szCs w:val="28"/>
        </w:rPr>
        <w:t>913.84</w:t>
      </w:r>
      <w:r>
        <w:rPr>
          <w:rFonts w:hint="eastAsia" w:ascii="仿宋_GB2312" w:eastAsia="仿宋_GB2312"/>
          <w:sz w:val="28"/>
          <w:szCs w:val="28"/>
        </w:rPr>
        <w:t>万元，占支出合计的55.45%;上缴上级支出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796C7B0D">
      <w:pPr>
        <w:spacing w:line="560" w:lineRule="exact"/>
        <w:ind w:firstLine="640"/>
        <w:rPr>
          <w:rFonts w:ascii="仿宋_GB2312" w:eastAsia="仿宋_GB2312" w:cs="Droid Sans"/>
          <w:color w:val="000000"/>
          <w:sz w:val="32"/>
          <w:szCs w:val="32"/>
        </w:rPr>
      </w:pPr>
    </w:p>
    <w:p w14:paraId="3BBA4F9E">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13AC5BBC">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8BCA7A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7657BBC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1804.2</w:t>
      </w:r>
      <w:r>
        <w:rPr>
          <w:rFonts w:hint="eastAsia" w:ascii="仿宋_GB2312" w:eastAsia="仿宋_GB2312"/>
          <w:sz w:val="28"/>
          <w:szCs w:val="28"/>
        </w:rPr>
        <w:t>0万元，比上年</w:t>
      </w:r>
      <w:r>
        <w:rPr>
          <w:rFonts w:ascii="仿宋_GB2312" w:eastAsia="仿宋_GB2312"/>
          <w:sz w:val="28"/>
          <w:szCs w:val="28"/>
        </w:rPr>
        <w:t>增加</w:t>
      </w:r>
      <w:r>
        <w:rPr>
          <w:rFonts w:hint="eastAsia" w:ascii="仿宋_GB2312" w:eastAsia="仿宋_GB2312"/>
          <w:sz w:val="28"/>
          <w:szCs w:val="28"/>
        </w:rPr>
        <w:t>175.22万元，增长10.76%。主要原因：根据业务处室职能优化调整和落实工作要求，增加了新媒体内容维护项目、信息系统维护项目、出版物内容审读项目预算。严格按照预算管理要求加快预算执行进度，项目预算执行率提高。</w:t>
      </w:r>
    </w:p>
    <w:p w14:paraId="2B92D6E7">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6C4B7C27">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4808FF01">
      <w:pPr>
        <w:tabs>
          <w:tab w:val="center" w:pos="6979"/>
        </w:tabs>
        <w:spacing w:line="580" w:lineRule="exact"/>
        <w:ind w:firstLine="560" w:firstLineChars="200"/>
        <w:rPr>
          <w:rFonts w:ascii="仿宋_GB2312" w:eastAsia="仿宋_GB2312"/>
          <w:color w:val="FF0000"/>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1647.9</w:t>
      </w:r>
      <w:r>
        <w:rPr>
          <w:rFonts w:hint="eastAsia" w:ascii="仿宋_GB2312" w:eastAsia="仿宋_GB2312"/>
          <w:sz w:val="28"/>
          <w:szCs w:val="28"/>
        </w:rPr>
        <w:t>0万元，主要用于以下方面（按大类）：文化旅游体育与传媒支出1520.66万元，占本年财政拨款支出92.28%；社会保障和就业支出73.57万元，占本年财政拨款支出4.46%；卫生健康支出53.68万元，占本年财政拨款支出3.26%。</w:t>
      </w:r>
    </w:p>
    <w:p w14:paraId="3447CF11">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18319EC4">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1、“文化旅游体育与传媒支出”（类）2024年度年初预算1643.24万元，2024年度决算1520.66万元，完成年初预算的92.54%。其中：</w:t>
      </w:r>
    </w:p>
    <w:p w14:paraId="646D5699">
      <w:pPr>
        <w:spacing w:line="580" w:lineRule="exact"/>
        <w:ind w:firstLine="560" w:firstLineChars="200"/>
        <w:rPr>
          <w:rFonts w:ascii="仿宋_GB2312" w:eastAsia="仿宋_GB2312"/>
          <w:sz w:val="28"/>
          <w:szCs w:val="28"/>
        </w:rPr>
      </w:pPr>
      <w:r>
        <w:rPr>
          <w:rFonts w:hint="eastAsia" w:ascii="仿宋_GB2312" w:eastAsia="仿宋_GB2312"/>
          <w:sz w:val="28"/>
          <w:szCs w:val="28"/>
        </w:rPr>
        <w:t>“其他新闻出版电影支出”（款）2024年度年初预算1643.24万元，2024年度决算1520.66万元，完成年初预算的92.54%。主要原因：严格落实政府过紧日子要求，厉行节约，压缩一般性支出。</w:t>
      </w:r>
    </w:p>
    <w:p w14:paraId="0543F3DF">
      <w:pPr>
        <w:spacing w:line="580" w:lineRule="exact"/>
        <w:ind w:firstLine="560" w:firstLineChars="200"/>
        <w:rPr>
          <w:rFonts w:ascii="仿宋_GB2312" w:eastAsia="仿宋_GB2312"/>
          <w:sz w:val="28"/>
          <w:szCs w:val="28"/>
        </w:rPr>
      </w:pPr>
      <w:r>
        <w:rPr>
          <w:rFonts w:hint="eastAsia" w:ascii="仿宋_GB2312" w:eastAsia="仿宋_GB2312"/>
          <w:sz w:val="28"/>
          <w:szCs w:val="28"/>
        </w:rPr>
        <w:t>2、“社会保障和就业支出”(类)2024年度年初预算93.86万元，2024年度决算73.57万元，完成年初预算的78.39%。其中：</w:t>
      </w:r>
    </w:p>
    <w:p w14:paraId="5B70D220">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“行政事业单位养老支出”（款）2024年度年初预算93.86万元，2024年度决算73.57万元，完成年初预算的78.39%。主要原因：严格按照实有人数与缴费比率缴纳社保经费。</w:t>
      </w:r>
    </w:p>
    <w:p w14:paraId="11F48741">
      <w:pPr>
        <w:numPr>
          <w:ilvl w:val="0"/>
          <w:numId w:val="1"/>
        </w:numPr>
        <w:spacing w:line="580" w:lineRule="exact"/>
        <w:ind w:firstLine="560" w:firstLineChars="200"/>
        <w:rPr>
          <w:rFonts w:ascii="仿宋_GB2312" w:eastAsia="仿宋_GB2312"/>
          <w:sz w:val="28"/>
          <w:szCs w:val="28"/>
        </w:rPr>
      </w:pPr>
      <w:r>
        <w:rPr>
          <w:rFonts w:hint="eastAsia" w:ascii="仿宋_GB2312" w:eastAsia="仿宋_GB2312"/>
          <w:sz w:val="28"/>
          <w:szCs w:val="28"/>
        </w:rPr>
        <w:t>“卫生健康支出”(类)2024年度年初预算65.40万元，2024年度决算53.68万元，完成年初预算的82.07%。</w:t>
      </w:r>
    </w:p>
    <w:p w14:paraId="044D1F6B">
      <w:pPr>
        <w:spacing w:line="580" w:lineRule="exact"/>
        <w:rPr>
          <w:rFonts w:ascii="仿宋_GB2312" w:eastAsia="仿宋_GB2312"/>
          <w:sz w:val="28"/>
          <w:szCs w:val="28"/>
        </w:rPr>
      </w:pPr>
      <w:r>
        <w:rPr>
          <w:rFonts w:hint="eastAsia" w:ascii="仿宋_GB2312" w:eastAsia="仿宋_GB2312"/>
          <w:sz w:val="28"/>
          <w:szCs w:val="28"/>
        </w:rPr>
        <w:t>其中：</w:t>
      </w:r>
    </w:p>
    <w:p w14:paraId="085501BE">
      <w:pPr>
        <w:spacing w:line="580" w:lineRule="exact"/>
        <w:ind w:firstLine="560" w:firstLineChars="200"/>
      </w:pPr>
      <w:r>
        <w:rPr>
          <w:rFonts w:hint="eastAsia" w:ascii="仿宋_GB2312" w:eastAsia="仿宋_GB2312"/>
          <w:sz w:val="28"/>
          <w:szCs w:val="28"/>
        </w:rPr>
        <w:t>行政事业单位医疗”（款）2024年度年初预算65.40万元，2024年度决算53.68万元，完成年初预算的82.07%。主要原因：严格按照实有人数与缴费比率缴纳社保经费。</w:t>
      </w:r>
    </w:p>
    <w:p w14:paraId="12BD5BD5">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6D786483">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2AD8CE73">
      <w:pPr>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0</w:t>
      </w:r>
      <w:r>
        <w:rPr>
          <w:rFonts w:hint="eastAsia" w:ascii="仿宋_GB2312" w:eastAsia="仿宋_GB2312"/>
          <w:sz w:val="28"/>
          <w:szCs w:val="28"/>
        </w:rPr>
        <w:t>万元。</w:t>
      </w:r>
    </w:p>
    <w:p w14:paraId="52C78BF2">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092EB3E2">
      <w:pPr>
        <w:ind w:firstLine="537" w:firstLineChars="192"/>
        <w:rPr>
          <w:rFonts w:ascii="仿宋_GB2312" w:eastAsia="仿宋_GB2312"/>
          <w:sz w:val="28"/>
          <w:szCs w:val="28"/>
        </w:rPr>
      </w:pPr>
      <w:r>
        <w:rPr>
          <w:rFonts w:hint="eastAsia" w:ascii="仿宋_GB2312" w:eastAsia="仿宋_GB2312"/>
          <w:sz w:val="28"/>
          <w:szCs w:val="28"/>
        </w:rPr>
        <w:t>2024年度国有资本经营预算财政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33414D68">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559A511C">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734.07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5CB2D46C">
      <w:pPr>
        <w:autoSpaceDE w:val="0"/>
        <w:autoSpaceDN w:val="0"/>
        <w:adjustRightInd w:val="0"/>
        <w:spacing w:line="580" w:lineRule="exact"/>
        <w:rPr>
          <w:rFonts w:ascii="仿宋_GB2312" w:eastAsia="仿宋_GB2312"/>
          <w:b/>
          <w:sz w:val="32"/>
          <w:szCs w:val="32"/>
        </w:rPr>
      </w:pPr>
      <w:r>
        <w:rPr>
          <w:rFonts w:ascii="仿宋_GB2312" w:eastAsia="仿宋_GB2312"/>
          <w:b/>
          <w:sz w:val="32"/>
          <w:szCs w:val="32"/>
        </w:rPr>
        <w:tab/>
      </w:r>
    </w:p>
    <w:p w14:paraId="0014BA48">
      <w:pPr>
        <w:pStyle w:val="2"/>
      </w:pPr>
    </w:p>
    <w:p w14:paraId="2191A302"/>
    <w:p w14:paraId="1B66AE6B">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22462DCB">
      <w:pPr>
        <w:numPr>
          <w:ilvl w:val="0"/>
          <w:numId w:val="2"/>
        </w:numPr>
        <w:spacing w:line="560" w:lineRule="exact"/>
        <w:ind w:firstLine="560" w:firstLineChars="200"/>
        <w:rPr>
          <w:rFonts w:ascii="黑体" w:eastAsia="黑体"/>
          <w:sz w:val="28"/>
          <w:szCs w:val="28"/>
        </w:rPr>
      </w:pPr>
      <w:r>
        <w:rPr>
          <w:rFonts w:hint="eastAsia" w:ascii="黑体" w:eastAsia="黑体"/>
          <w:sz w:val="28"/>
          <w:szCs w:val="28"/>
        </w:rPr>
        <w:t>“三公”经费财政拨款决算情况</w:t>
      </w:r>
    </w:p>
    <w:p w14:paraId="578BB9E7">
      <w:pPr>
        <w:ind w:left="540"/>
      </w:pPr>
      <w:r>
        <w:rPr>
          <w:rFonts w:hint="eastAsia" w:ascii="仿宋_GB2312" w:eastAsia="仿宋_GB2312"/>
          <w:sz w:val="28"/>
          <w:szCs w:val="28"/>
        </w:rPr>
        <w:t>本单位无“三公”经费。</w:t>
      </w:r>
    </w:p>
    <w:p w14:paraId="4395D823">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578A49B4">
      <w:pPr>
        <w:ind w:left="540"/>
        <w:rPr>
          <w:rFonts w:ascii="仿宋_GB2312" w:eastAsia="仿宋_GB2312"/>
          <w:sz w:val="28"/>
          <w:szCs w:val="28"/>
        </w:rPr>
      </w:pPr>
      <w:r>
        <w:rPr>
          <w:rFonts w:hint="eastAsia" w:ascii="仿宋_GB2312" w:eastAsia="仿宋_GB2312"/>
          <w:sz w:val="28"/>
          <w:szCs w:val="28"/>
        </w:rPr>
        <w:t>本单位不在机关运行经费统计范围内。</w:t>
      </w:r>
    </w:p>
    <w:p w14:paraId="36942684">
      <w:pPr>
        <w:ind w:left="540"/>
        <w:rPr>
          <w:rFonts w:ascii="黑体" w:eastAsia="黑体"/>
          <w:sz w:val="28"/>
          <w:szCs w:val="28"/>
        </w:rPr>
      </w:pPr>
      <w:r>
        <w:rPr>
          <w:rFonts w:hint="eastAsia" w:ascii="黑体" w:eastAsia="黑体"/>
          <w:sz w:val="28"/>
          <w:szCs w:val="28"/>
        </w:rPr>
        <w:t>三、政府采购支出情况</w:t>
      </w:r>
    </w:p>
    <w:p w14:paraId="08323B41">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484.04</w:t>
      </w:r>
      <w:r>
        <w:rPr>
          <w:rFonts w:hint="eastAsia" w:ascii="仿宋_GB2312" w:eastAsia="仿宋_GB2312"/>
          <w:sz w:val="28"/>
          <w:szCs w:val="28"/>
        </w:rPr>
        <w:t>万元，其中：政府采购货物支出</w:t>
      </w:r>
      <w:r>
        <w:rPr>
          <w:rFonts w:ascii="仿宋_GB2312" w:eastAsia="仿宋_GB2312"/>
          <w:sz w:val="28"/>
          <w:szCs w:val="28"/>
        </w:rPr>
        <w:t>0.3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483.74</w:t>
      </w:r>
      <w:r>
        <w:rPr>
          <w:rFonts w:hint="eastAsia" w:ascii="仿宋_GB2312" w:eastAsia="仿宋_GB2312"/>
          <w:sz w:val="28"/>
          <w:szCs w:val="28"/>
        </w:rPr>
        <w:t>万元。授予中小企业合同金额281.88万元，占政府采购支出总额的58.23%，其中：授予小微企业合同金额27.60万元，占政府采购支出总额的5.70%。</w:t>
      </w:r>
    </w:p>
    <w:p w14:paraId="3B85B65C">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668C98CD">
      <w:pPr>
        <w:ind w:firstLine="560" w:firstLineChars="200"/>
        <w:rPr>
          <w:rFonts w:ascii="仿宋_GB2312" w:eastAsia="仿宋_GB2312"/>
          <w:sz w:val="32"/>
          <w:szCs w:val="32"/>
        </w:rPr>
      </w:pPr>
      <w:r>
        <w:rPr>
          <w:rFonts w:hint="eastAsia" w:ascii="仿宋_GB2312" w:eastAsia="仿宋_GB2312"/>
          <w:sz w:val="28"/>
          <w:szCs w:val="28"/>
        </w:rPr>
        <w:t>截至12月31日，北京市出版事业发展中心共有车辆0台；单位价值100万元（含）以上的设备0台（套）。</w:t>
      </w:r>
    </w:p>
    <w:p w14:paraId="1589DA8A">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F122CE4">
      <w:pPr>
        <w:ind w:firstLine="537" w:firstLineChars="192"/>
        <w:rPr>
          <w:rFonts w:ascii="仿宋_GB2312" w:eastAsia="仿宋_GB2312"/>
          <w:sz w:val="28"/>
          <w:szCs w:val="28"/>
        </w:rPr>
      </w:pPr>
      <w:r>
        <w:rPr>
          <w:rFonts w:hint="eastAsia" w:ascii="仿宋_GB2312" w:eastAsia="仿宋_GB2312"/>
          <w:sz w:val="28"/>
          <w:szCs w:val="28"/>
        </w:rPr>
        <w:t>2024年度</w:t>
      </w:r>
      <w:r>
        <w:rPr>
          <w:rFonts w:ascii="仿宋_GB2312" w:eastAsia="仿宋_GB2312"/>
          <w:sz w:val="28"/>
          <w:szCs w:val="28"/>
        </w:rPr>
        <w:t>政府购买服务决算0</w:t>
      </w:r>
      <w:r>
        <w:rPr>
          <w:rFonts w:hint="eastAsia" w:ascii="仿宋_GB2312" w:eastAsia="仿宋_GB2312"/>
          <w:sz w:val="28"/>
          <w:szCs w:val="28"/>
        </w:rPr>
        <w:t>万元。</w:t>
      </w:r>
    </w:p>
    <w:p w14:paraId="2833BB1B">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7864D73D">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2C50FB2">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2451D8F0">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3BF0FCA">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672952C6">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8FA95A0">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4C3609C2">
      <w:pPr>
        <w:ind w:firstLine="420" w:firstLineChars="150"/>
        <w:rPr>
          <w:rFonts w:ascii="仿宋_GB2312" w:eastAsia="仿宋_GB2312"/>
          <w:sz w:val="28"/>
          <w:szCs w:val="28"/>
        </w:rPr>
      </w:pPr>
      <w:r>
        <w:rPr>
          <w:rFonts w:hint="eastAsia" w:ascii="仿宋_GB2312" w:eastAsia="仿宋_GB2312"/>
          <w:sz w:val="28"/>
          <w:szCs w:val="28"/>
        </w:rPr>
        <w:t>7.支出功能分类科目名词解释：</w:t>
      </w:r>
    </w:p>
    <w:p w14:paraId="5F031993">
      <w:pPr>
        <w:ind w:firstLine="420" w:firstLineChars="150"/>
        <w:rPr>
          <w:rFonts w:ascii="仿宋_GB2312" w:eastAsia="仿宋_GB2312"/>
          <w:sz w:val="28"/>
          <w:szCs w:val="28"/>
        </w:rPr>
      </w:pPr>
      <w:r>
        <w:rPr>
          <w:rFonts w:hint="eastAsia" w:ascii="仿宋_GB2312" w:eastAsia="仿宋_GB2312"/>
          <w:sz w:val="28"/>
          <w:szCs w:val="28"/>
        </w:rPr>
        <w:t>文化旅游体育与传媒支出（类）新闻出版电影（款）其他新闻出版电影支出（项）：反映其他用于新闻出版电影方面的支出。</w:t>
      </w:r>
    </w:p>
    <w:p w14:paraId="4467D599">
      <w:pPr>
        <w:ind w:firstLine="420" w:firstLineChars="150"/>
        <w:rPr>
          <w:rFonts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社会保障和就业支出（类）行政事业单位养老支出（款）机关事业单位基本养老保险缴费支出（项）：反映机关事业单位实施养老保险制度由单位实际缴纳的基本养老保险费支出。</w:t>
      </w:r>
    </w:p>
    <w:p w14:paraId="2D3FD3CC">
      <w:pPr>
        <w:ind w:firstLine="420" w:firstLineChars="150"/>
        <w:rPr>
          <w:rFonts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社会保障和就业支出（类）行政事业单位养老支出（款）机关事业单位职业年金缴费支出（项）：反映机关事业单位实施养老保险制度由单位实际缴纳的职业年金支出（含职业年金补记支出）。</w:t>
      </w:r>
    </w:p>
    <w:p w14:paraId="5C485525">
      <w:pPr>
        <w:ind w:firstLine="420" w:firstLineChars="150"/>
        <w:rPr>
          <w:rFonts w:ascii="仿宋_GB2312" w:eastAsia="仿宋_GB2312"/>
          <w:sz w:val="28"/>
          <w:szCs w:val="28"/>
        </w:rPr>
      </w:pPr>
      <w:r>
        <w:rPr>
          <w:rFonts w:hint="eastAsia" w:ascii="仿宋_GB2312" w:eastAsia="仿宋_GB2312"/>
          <w:sz w:val="28"/>
          <w:szCs w:val="28"/>
        </w:rPr>
        <w:t>卫生健康支出（类）行政事业单位医疗（款）事业单位医疗（项）：反映财政部门安排的事业单位基本医疗保险缴费经费，未参加医疗保险的事业单位的公费医疗经费，按国家规定享受离休人员待遇的医疗经费。</w:t>
      </w:r>
    </w:p>
    <w:p w14:paraId="520F006B">
      <w:pPr>
        <w:rPr>
          <w:rFonts w:ascii="仿宋_GB2312" w:eastAsia="仿宋_GB2312"/>
          <w:sz w:val="28"/>
          <w:szCs w:val="28"/>
        </w:rPr>
      </w:pPr>
    </w:p>
    <w:p w14:paraId="29867385">
      <w:pPr>
        <w:tabs>
          <w:tab w:val="center" w:pos="6979"/>
        </w:tabs>
        <w:spacing w:line="380" w:lineRule="exact"/>
        <w:jc w:val="center"/>
        <w:rPr>
          <w:rFonts w:ascii="宋体" w:hAnsi="宋体" w:cs="宋体"/>
          <w:b/>
          <w:bCs/>
          <w:kern w:val="0"/>
          <w:sz w:val="28"/>
          <w:szCs w:val="28"/>
        </w:rPr>
      </w:pPr>
    </w:p>
    <w:p w14:paraId="53D4EB22">
      <w:pPr>
        <w:tabs>
          <w:tab w:val="center" w:pos="6979"/>
        </w:tabs>
        <w:spacing w:line="380" w:lineRule="exact"/>
        <w:jc w:val="center"/>
        <w:rPr>
          <w:rFonts w:ascii="宋体" w:hAnsi="宋体" w:cs="宋体"/>
          <w:b/>
          <w:bCs/>
          <w:kern w:val="0"/>
          <w:sz w:val="28"/>
          <w:szCs w:val="28"/>
        </w:rPr>
      </w:pPr>
    </w:p>
    <w:p w14:paraId="2591D1C4">
      <w:pPr>
        <w:pStyle w:val="2"/>
        <w:rPr>
          <w:rFonts w:ascii="宋体" w:hAnsi="宋体" w:cs="宋体"/>
          <w:sz w:val="28"/>
          <w:szCs w:val="28"/>
        </w:rPr>
      </w:pPr>
    </w:p>
    <w:p w14:paraId="5A480018">
      <w:pPr>
        <w:rPr>
          <w:rFonts w:ascii="宋体" w:hAnsi="宋体" w:cs="宋体"/>
          <w:b/>
          <w:bCs/>
          <w:kern w:val="0"/>
          <w:sz w:val="28"/>
          <w:szCs w:val="28"/>
        </w:rPr>
      </w:pPr>
    </w:p>
    <w:p w14:paraId="534695C1">
      <w:pPr>
        <w:pStyle w:val="2"/>
      </w:pPr>
    </w:p>
    <w:p w14:paraId="5EC621A4">
      <w:pPr>
        <w:rPr>
          <w:rFonts w:ascii="黑体" w:eastAsia="黑体"/>
          <w:sz w:val="32"/>
          <w:szCs w:val="32"/>
        </w:rPr>
      </w:pPr>
    </w:p>
    <w:p w14:paraId="64E2D8FA">
      <w:pPr>
        <w:ind w:firstLine="640" w:firstLineChars="200"/>
        <w:jc w:val="center"/>
        <w:rPr>
          <w:rFonts w:ascii="黑体" w:eastAsia="黑体"/>
          <w:sz w:val="32"/>
          <w:szCs w:val="32"/>
        </w:rPr>
      </w:pPr>
    </w:p>
    <w:p w14:paraId="233C6BA4">
      <w:pPr>
        <w:ind w:firstLine="640" w:firstLineChars="200"/>
        <w:jc w:val="center"/>
        <w:rPr>
          <w:rFonts w:ascii="黑体" w:eastAsia="黑体"/>
          <w:sz w:val="32"/>
          <w:szCs w:val="32"/>
        </w:rPr>
      </w:pPr>
      <w:r>
        <w:rPr>
          <w:rFonts w:hint="eastAsia" w:ascii="黑体" w:eastAsia="黑体"/>
          <w:sz w:val="32"/>
          <w:szCs w:val="32"/>
        </w:rPr>
        <w:t>第四部分  2024年度部门绩效评价情况</w:t>
      </w:r>
    </w:p>
    <w:p w14:paraId="2CB3A513">
      <w:pPr>
        <w:ind w:firstLine="1120" w:firstLineChars="400"/>
        <w:rPr>
          <w:rFonts w:ascii="黑体" w:eastAsia="黑体"/>
          <w:sz w:val="28"/>
          <w:szCs w:val="28"/>
        </w:rPr>
      </w:pPr>
      <w:bookmarkStart w:id="0" w:name="_GoBack"/>
      <w:bookmarkEnd w:id="0"/>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383C4CF6">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05CB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536F62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5A8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7</w:t>
    </w:r>
    <w:r>
      <w:fldChar w:fldCharType="end"/>
    </w:r>
  </w:p>
  <w:p w14:paraId="2822F97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E901B">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3C763E2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3A4A8"/>
    <w:multiLevelType w:val="singleLevel"/>
    <w:tmpl w:val="3FE3A4A8"/>
    <w:lvl w:ilvl="0" w:tentative="0">
      <w:start w:val="1"/>
      <w:numFmt w:val="chineseCounting"/>
      <w:suff w:val="nothing"/>
      <w:lvlText w:val="%1、"/>
      <w:lvlJc w:val="left"/>
      <w:rPr>
        <w:rFonts w:hint="eastAsia"/>
      </w:rPr>
    </w:lvl>
  </w:abstractNum>
  <w:abstractNum w:abstractNumId="1">
    <w:nsid w:val="740A0248"/>
    <w:multiLevelType w:val="singleLevel"/>
    <w:tmpl w:val="740A0248"/>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23BB"/>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1C14"/>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63BA"/>
    <w:rsid w:val="00966F4F"/>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35ED"/>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873BB9"/>
    <w:rsid w:val="02F120AB"/>
    <w:rsid w:val="032B5196"/>
    <w:rsid w:val="04C3537C"/>
    <w:rsid w:val="04D330E5"/>
    <w:rsid w:val="05FA6460"/>
    <w:rsid w:val="06BA7D75"/>
    <w:rsid w:val="079004AC"/>
    <w:rsid w:val="0B9A69BC"/>
    <w:rsid w:val="0BA148CA"/>
    <w:rsid w:val="0C1165C4"/>
    <w:rsid w:val="0D6D544B"/>
    <w:rsid w:val="0DD136FE"/>
    <w:rsid w:val="0DDD1007"/>
    <w:rsid w:val="0F8E2C57"/>
    <w:rsid w:val="1059665E"/>
    <w:rsid w:val="10AC13BA"/>
    <w:rsid w:val="11544F10"/>
    <w:rsid w:val="1412618B"/>
    <w:rsid w:val="145A6C1B"/>
    <w:rsid w:val="14B73493"/>
    <w:rsid w:val="167A2FF9"/>
    <w:rsid w:val="1774244D"/>
    <w:rsid w:val="18581C69"/>
    <w:rsid w:val="1AEC0734"/>
    <w:rsid w:val="1DC37D43"/>
    <w:rsid w:val="1DEF20B0"/>
    <w:rsid w:val="214243FA"/>
    <w:rsid w:val="21AD613C"/>
    <w:rsid w:val="22467189"/>
    <w:rsid w:val="257A14F5"/>
    <w:rsid w:val="26F34BB8"/>
    <w:rsid w:val="27196C26"/>
    <w:rsid w:val="29EF086F"/>
    <w:rsid w:val="2E60513A"/>
    <w:rsid w:val="2EFFE297"/>
    <w:rsid w:val="2FAD43AF"/>
    <w:rsid w:val="301437CA"/>
    <w:rsid w:val="30A6152A"/>
    <w:rsid w:val="322070BA"/>
    <w:rsid w:val="349D1F0A"/>
    <w:rsid w:val="34DD0473"/>
    <w:rsid w:val="362627BD"/>
    <w:rsid w:val="3C684897"/>
    <w:rsid w:val="3CBC5107"/>
    <w:rsid w:val="3DC24E65"/>
    <w:rsid w:val="3E895FE7"/>
    <w:rsid w:val="3EF7733C"/>
    <w:rsid w:val="416A2100"/>
    <w:rsid w:val="423B584A"/>
    <w:rsid w:val="433E495C"/>
    <w:rsid w:val="467B2000"/>
    <w:rsid w:val="489F2FD7"/>
    <w:rsid w:val="4AC27CB3"/>
    <w:rsid w:val="4BF72BEF"/>
    <w:rsid w:val="4EBE6A44"/>
    <w:rsid w:val="4FA90297"/>
    <w:rsid w:val="4FC41A43"/>
    <w:rsid w:val="51DB3C59"/>
    <w:rsid w:val="550C0952"/>
    <w:rsid w:val="55762E42"/>
    <w:rsid w:val="57A7B272"/>
    <w:rsid w:val="58470068"/>
    <w:rsid w:val="58747CAC"/>
    <w:rsid w:val="5A1720F9"/>
    <w:rsid w:val="5B9C37C2"/>
    <w:rsid w:val="5BA7C654"/>
    <w:rsid w:val="60A54109"/>
    <w:rsid w:val="61D01CDF"/>
    <w:rsid w:val="62F84F85"/>
    <w:rsid w:val="64C0607C"/>
    <w:rsid w:val="65756C86"/>
    <w:rsid w:val="674D385B"/>
    <w:rsid w:val="676F09E1"/>
    <w:rsid w:val="6F525DFE"/>
    <w:rsid w:val="7357290B"/>
    <w:rsid w:val="76943C19"/>
    <w:rsid w:val="798524E4"/>
    <w:rsid w:val="7A7F1C49"/>
    <w:rsid w:val="7B5B7AE6"/>
    <w:rsid w:val="7B7B6628"/>
    <w:rsid w:val="7BA7071E"/>
    <w:rsid w:val="7BDF6DA8"/>
    <w:rsid w:val="7C554591"/>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1804.2</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75c9cbb-7183-4df1-88dc-e4c92c52e129}"/>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734.07</c:v>
                </c:pt>
                <c:pt idx="1">
                  <c:v>913.84</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85d5f2c-b7fe-4279-a1f5-14afa32c05a8}"/>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3223</Words>
  <Characters>3607</Characters>
  <Lines>26</Lines>
  <Paragraphs>7</Paragraphs>
  <TotalTime>0</TotalTime>
  <ScaleCrop>false</ScaleCrop>
  <LinksUpToDate>false</LinksUpToDate>
  <CharactersWithSpaces>3626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2025-08-21T06:20:00Z</cp:lastPrinted>
  <dcterms:modified xsi:type="dcterms:W3CDTF">2025-09-08T01:55:08Z</dcterms:modified>
  <dc:title>北京市财政局关于做好向市人大常委会报送2015年度市级部门决算（草案）</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BFDF2475338C4A4A9EED0BC938378736_13</vt:lpwstr>
  </property>
  <property fmtid="{D5CDD505-2E9C-101B-9397-08002B2CF9AE}" pid="4" name="KSOTemplateDocerSaveRecord">
    <vt:lpwstr>eyJoZGlkIjoiMzlhNDkwZDM5NGFjYTEzMDlkYzJlMmY3ZGQ4MDEyZjciLCJ1c2VySWQiOiIxMzAzMzM4OTAyIn0=</vt:lpwstr>
  </property>
</Properties>
</file>