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26E02">
      <w:pPr>
        <w:jc w:val="center"/>
        <w:rPr>
          <w:rFonts w:ascii="仿宋_GB2312" w:eastAsia="仿宋_GB2312"/>
          <w:b/>
          <w:sz w:val="32"/>
          <w:szCs w:val="32"/>
        </w:rPr>
      </w:pPr>
    </w:p>
    <w:p w14:paraId="17417CD1">
      <w:pPr>
        <w:jc w:val="center"/>
        <w:rPr>
          <w:rFonts w:ascii="黑体" w:eastAsia="黑体"/>
          <w:sz w:val="72"/>
          <w:szCs w:val="72"/>
        </w:rPr>
      </w:pPr>
    </w:p>
    <w:p w14:paraId="6F263142">
      <w:pPr>
        <w:jc w:val="center"/>
        <w:rPr>
          <w:rFonts w:ascii="黑体" w:eastAsia="黑体"/>
          <w:sz w:val="72"/>
          <w:szCs w:val="72"/>
        </w:rPr>
      </w:pPr>
    </w:p>
    <w:p w14:paraId="4857F9D6">
      <w:pPr>
        <w:jc w:val="center"/>
        <w:rPr>
          <w:rFonts w:ascii="黑体" w:eastAsia="黑体"/>
          <w:sz w:val="72"/>
          <w:szCs w:val="72"/>
        </w:rPr>
      </w:pPr>
    </w:p>
    <w:p w14:paraId="4264FEA1">
      <w:pPr>
        <w:jc w:val="center"/>
        <w:rPr>
          <w:rFonts w:ascii="黑体" w:eastAsia="黑体"/>
          <w:sz w:val="72"/>
          <w:szCs w:val="72"/>
        </w:rPr>
      </w:pPr>
      <w:r>
        <w:rPr>
          <w:rFonts w:hint="eastAsia" w:ascii="黑体" w:eastAsia="黑体"/>
          <w:sz w:val="72"/>
          <w:szCs w:val="72"/>
        </w:rPr>
        <w:t>北京市宣传思想文化人才发展中心</w:t>
      </w:r>
    </w:p>
    <w:p w14:paraId="68305646">
      <w:pPr>
        <w:jc w:val="center"/>
        <w:rPr>
          <w:rFonts w:hint="default" w:ascii="黑体" w:eastAsia="黑体"/>
          <w:sz w:val="72"/>
          <w:szCs w:val="72"/>
          <w:lang w:val="en-US" w:eastAsia="zh-CN"/>
        </w:rPr>
      </w:pPr>
      <w:r>
        <w:rPr>
          <w:rFonts w:hint="eastAsia" w:ascii="黑体" w:eastAsia="黑体"/>
          <w:sz w:val="72"/>
          <w:szCs w:val="72"/>
        </w:rPr>
        <w:t>2024年度决算</w:t>
      </w:r>
      <w:r>
        <w:rPr>
          <w:rFonts w:hint="eastAsia" w:ascii="黑体" w:eastAsia="黑体"/>
          <w:sz w:val="72"/>
          <w:szCs w:val="72"/>
          <w:lang w:val="en-US" w:eastAsia="zh-CN"/>
        </w:rPr>
        <w:t>(公开)</w:t>
      </w:r>
      <w:bookmarkStart w:id="0" w:name="_GoBack"/>
      <w:bookmarkEnd w:id="0"/>
    </w:p>
    <w:p w14:paraId="7BA80DB2">
      <w:pPr>
        <w:pStyle w:val="2"/>
        <w:rPr>
          <w:rFonts w:hint="eastAsia"/>
          <w:lang w:val="en-US" w:eastAsia="zh-CN"/>
        </w:rPr>
      </w:pPr>
    </w:p>
    <w:p w14:paraId="32FB3102">
      <w:pPr>
        <w:jc w:val="center"/>
        <w:rPr>
          <w:rFonts w:ascii="黑体" w:eastAsia="黑体"/>
          <w:sz w:val="52"/>
          <w:szCs w:val="52"/>
        </w:rPr>
      </w:pPr>
    </w:p>
    <w:p w14:paraId="3FB08A1F">
      <w:pPr>
        <w:jc w:val="center"/>
        <w:rPr>
          <w:rFonts w:ascii="黑体" w:eastAsia="黑体"/>
          <w:sz w:val="52"/>
          <w:szCs w:val="52"/>
        </w:rPr>
      </w:pPr>
    </w:p>
    <w:p w14:paraId="4FF20F29">
      <w:pPr>
        <w:jc w:val="center"/>
        <w:rPr>
          <w:rFonts w:ascii="黑体" w:eastAsia="黑体"/>
          <w:sz w:val="52"/>
          <w:szCs w:val="52"/>
        </w:rPr>
      </w:pPr>
    </w:p>
    <w:p w14:paraId="41035296">
      <w:pPr>
        <w:spacing w:line="500" w:lineRule="exact"/>
        <w:jc w:val="center"/>
        <w:rPr>
          <w:rFonts w:ascii="宋体" w:hAnsi="宋体" w:cs="宋体"/>
          <w:b/>
          <w:bCs/>
          <w:kern w:val="0"/>
          <w:sz w:val="44"/>
          <w:szCs w:val="36"/>
        </w:rPr>
      </w:pPr>
      <w:r>
        <w:rPr>
          <w:rFonts w:hint="eastAsia" w:ascii="宋体" w:hAnsi="宋体" w:cs="宋体"/>
          <w:b/>
          <w:bCs/>
          <w:kern w:val="0"/>
          <w:sz w:val="44"/>
          <w:szCs w:val="36"/>
        </w:rPr>
        <w:t>目    录</w:t>
      </w:r>
    </w:p>
    <w:p w14:paraId="1F4B127C">
      <w:pPr>
        <w:spacing w:line="500" w:lineRule="exact"/>
        <w:ind w:firstLine="645"/>
        <w:jc w:val="center"/>
        <w:rPr>
          <w:rFonts w:hint="eastAsia" w:ascii="宋体" w:hAnsi="宋体" w:cs="宋体"/>
          <w:b/>
          <w:bCs/>
          <w:kern w:val="0"/>
          <w:sz w:val="36"/>
          <w:szCs w:val="36"/>
        </w:rPr>
      </w:pPr>
    </w:p>
    <w:p w14:paraId="2686A148">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年度决算报表</w:t>
      </w:r>
    </w:p>
    <w:p w14:paraId="5FE02352">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41F393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2439B1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5A13093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9537FA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E55B792">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2081DB0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46D48D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ED8A6C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7C464AA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3A413C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5D6E487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46E85748">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年度决算说明</w:t>
      </w:r>
    </w:p>
    <w:p w14:paraId="07A1E54C">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25D5A225">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年度绩效评价情况</w:t>
      </w:r>
    </w:p>
    <w:p w14:paraId="0E03C77C">
      <w:pPr>
        <w:tabs>
          <w:tab w:val="center" w:pos="6979"/>
        </w:tabs>
        <w:spacing w:before="156" w:beforeLines="50" w:after="156" w:afterLines="50"/>
        <w:jc w:val="center"/>
        <w:rPr>
          <w:rFonts w:ascii="宋体" w:hAnsi="宋体" w:cs="宋体"/>
          <w:b/>
          <w:bCs/>
          <w:spacing w:val="40"/>
          <w:kern w:val="0"/>
          <w:sz w:val="32"/>
          <w:szCs w:val="32"/>
        </w:rPr>
      </w:pPr>
    </w:p>
    <w:p w14:paraId="7DF58B15">
      <w:pPr>
        <w:tabs>
          <w:tab w:val="center" w:pos="6979"/>
        </w:tabs>
        <w:spacing w:before="156" w:beforeLines="50" w:after="156" w:afterLines="50"/>
        <w:jc w:val="center"/>
        <w:rPr>
          <w:rFonts w:ascii="宋体" w:hAnsi="宋体" w:cs="宋体"/>
          <w:b/>
          <w:bCs/>
          <w:spacing w:val="40"/>
          <w:kern w:val="0"/>
          <w:sz w:val="32"/>
          <w:szCs w:val="32"/>
        </w:rPr>
      </w:pPr>
    </w:p>
    <w:p w14:paraId="6B3D20F0">
      <w:pPr>
        <w:tabs>
          <w:tab w:val="center" w:pos="6979"/>
        </w:tabs>
        <w:spacing w:before="156" w:beforeLines="50" w:after="156" w:afterLines="50"/>
        <w:jc w:val="center"/>
        <w:rPr>
          <w:rFonts w:ascii="宋体" w:hAnsi="宋体" w:cs="宋体"/>
          <w:b/>
          <w:bCs/>
          <w:spacing w:val="40"/>
          <w:kern w:val="0"/>
          <w:sz w:val="32"/>
          <w:szCs w:val="32"/>
        </w:rPr>
      </w:pPr>
    </w:p>
    <w:p w14:paraId="57551E3E">
      <w:pPr>
        <w:tabs>
          <w:tab w:val="center" w:pos="6979"/>
        </w:tabs>
        <w:spacing w:before="156" w:beforeLines="50" w:after="156" w:afterLines="50"/>
        <w:jc w:val="center"/>
        <w:rPr>
          <w:rFonts w:ascii="宋体" w:hAnsi="宋体" w:cs="宋体"/>
          <w:b/>
          <w:bCs/>
          <w:spacing w:val="40"/>
          <w:kern w:val="0"/>
          <w:sz w:val="32"/>
          <w:szCs w:val="32"/>
        </w:rPr>
      </w:pPr>
    </w:p>
    <w:p w14:paraId="687D6CCA">
      <w:pPr>
        <w:tabs>
          <w:tab w:val="center" w:pos="6979"/>
        </w:tabs>
        <w:spacing w:before="156" w:beforeLines="50" w:after="156" w:afterLines="50"/>
        <w:jc w:val="center"/>
        <w:rPr>
          <w:rFonts w:ascii="宋体" w:hAnsi="宋体" w:cs="宋体"/>
          <w:b/>
          <w:bCs/>
          <w:spacing w:val="40"/>
          <w:kern w:val="0"/>
          <w:sz w:val="32"/>
          <w:szCs w:val="32"/>
        </w:rPr>
      </w:pPr>
    </w:p>
    <w:p w14:paraId="655A5FD9">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年度决算报表</w:t>
      </w:r>
    </w:p>
    <w:p w14:paraId="6F812A0A">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6508E94">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年度决算说明</w:t>
      </w:r>
    </w:p>
    <w:p w14:paraId="3E60B47E">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33687809">
      <w:pPr>
        <w:ind w:firstLine="560" w:firstLineChars="200"/>
        <w:rPr>
          <w:rFonts w:hint="eastAsia" w:ascii="仿宋_GB2312" w:eastAsia="仿宋_GB2312"/>
          <w:sz w:val="28"/>
          <w:szCs w:val="28"/>
        </w:rPr>
      </w:pPr>
      <w:r>
        <w:rPr>
          <w:rFonts w:hint="eastAsia" w:ascii="仿宋_GB2312" w:eastAsia="仿宋_GB2312"/>
          <w:sz w:val="28"/>
          <w:szCs w:val="28"/>
        </w:rPr>
        <w:t>根据中共北京市委机构编制委员会批复（京编委〔2021〕146号），组建北京市宣传思想文化人才发展中心，为中共北京市委宣传部所属公益一类事业单位。主要职责:承担本市宣传思想文化人才队伍建设和有关财政专项资金管理的事务性工作。</w:t>
      </w:r>
    </w:p>
    <w:p w14:paraId="6FDE3177">
      <w:pPr>
        <w:spacing w:line="560" w:lineRule="exact"/>
        <w:ind w:firstLine="560" w:firstLineChars="200"/>
        <w:rPr>
          <w:rFonts w:ascii="仿宋_GB2312" w:eastAsia="仿宋_GB2312"/>
          <w:sz w:val="28"/>
          <w:szCs w:val="28"/>
        </w:rPr>
      </w:pPr>
      <w:r>
        <w:rPr>
          <w:rFonts w:hint="eastAsia" w:ascii="仿宋_GB2312" w:eastAsia="仿宋_GB2312"/>
          <w:sz w:val="28"/>
          <w:szCs w:val="28"/>
        </w:rPr>
        <w:t>北京市宣传思想文化人才发展中心下设五个科室，分别是综合管理科、基金管理科、教育培训科、人才促进科、人力资源服务科。无下属单位。</w:t>
      </w:r>
    </w:p>
    <w:p w14:paraId="741CBF4C">
      <w:pPr>
        <w:tabs>
          <w:tab w:val="center" w:pos="6979"/>
        </w:tabs>
        <w:spacing w:line="580" w:lineRule="exact"/>
        <w:ind w:firstLine="320" w:firstLineChars="100"/>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36684A9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35733.59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增加10425.96万元，增长41.20%。</w:t>
      </w:r>
    </w:p>
    <w:p w14:paraId="6D91DE0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21E0CF39">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35733.59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增加10472.46万元，增长41.46%。</w:t>
      </w:r>
    </w:p>
    <w:p w14:paraId="134438EF">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35733.59</w:t>
      </w:r>
      <w:r>
        <w:rPr>
          <w:rFonts w:hint="eastAsia" w:ascii="仿宋_GB2312" w:eastAsia="仿宋_GB2312"/>
          <w:sz w:val="28"/>
          <w:szCs w:val="28"/>
        </w:rPr>
        <w:t>万元，占收入合计的100%。其中：一般公共预算财政拨款收入</w:t>
      </w:r>
      <w:r>
        <w:rPr>
          <w:rFonts w:ascii="仿宋_GB2312" w:eastAsia="仿宋_GB2312"/>
          <w:sz w:val="28"/>
          <w:szCs w:val="28"/>
        </w:rPr>
        <w:t>35733.59</w:t>
      </w:r>
      <w:r>
        <w:rPr>
          <w:rFonts w:hint="eastAsia" w:ascii="仿宋_GB2312" w:eastAsia="仿宋_GB2312"/>
          <w:sz w:val="28"/>
          <w:szCs w:val="28"/>
        </w:rPr>
        <w:t>万元，占收入合计的100%；政府性基金预算财政拨款收入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2EE8CE2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20E109E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3CD05CE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776288E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57793FC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万元，占收入合计的0%。</w:t>
      </w:r>
    </w:p>
    <w:p w14:paraId="3F6B7E53">
      <w:pPr>
        <w:tabs>
          <w:tab w:val="center" w:pos="6979"/>
        </w:tabs>
        <w:spacing w:line="580" w:lineRule="exact"/>
        <w:ind w:firstLine="640" w:firstLineChars="200"/>
        <w:jc w:val="center"/>
        <w:rPr>
          <w:b/>
          <w:bCs/>
        </w:rPr>
      </w:pPr>
      <w:r>
        <w:rPr>
          <w:rFonts w:hint="eastAsia" w:ascii="仿宋_GB2312" w:eastAsia="仿宋_GB2312"/>
          <w:b/>
          <w:bCs/>
          <w:color w:val="000000"/>
          <w:sz w:val="32"/>
        </w:rPr>
        <w:t>图1：收入决算</w:t>
      </w:r>
    </w:p>
    <w:p w14:paraId="2CBA53CF">
      <w:pPr>
        <w:pStyle w:val="2"/>
        <w:jc w:val="center"/>
      </w:pPr>
      <w:r>
        <w:rPr>
          <w:rFonts w:hint="eastAsia"/>
        </w:rPr>
        <w:drawing>
          <wp:inline distT="0" distB="0" distL="114300" distR="114300">
            <wp:extent cx="4819015" cy="2750820"/>
            <wp:effectExtent l="4445" t="4445" r="15240" b="698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0DDCB43"/>
    <w:p w14:paraId="7A8C3625">
      <w:pPr>
        <w:pStyle w:val="3"/>
        <w:ind w:firstLine="420"/>
        <w:jc w:val="center"/>
      </w:pPr>
    </w:p>
    <w:p w14:paraId="17A3F1F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4FCE5F3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2024年度本年支出合计35384.32万元，</w:t>
      </w:r>
      <w:r>
        <w:rPr>
          <w:rFonts w:ascii="仿宋_GB2312" w:eastAsia="仿宋_GB2312"/>
          <w:sz w:val="28"/>
          <w:szCs w:val="28"/>
        </w:rPr>
        <w:t>比上年增加</w:t>
      </w:r>
      <w:r>
        <w:rPr>
          <w:rFonts w:hint="eastAsia" w:ascii="仿宋_GB2312" w:eastAsia="仿宋_GB2312"/>
          <w:sz w:val="28"/>
          <w:szCs w:val="28"/>
        </w:rPr>
        <w:t>10141.27万元，增长40.17%，其中：基本支出1026.30万元，占支出合计的2.90%；项目支出34358.03万元，占支出合计的97.10%;上缴上级支出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14:paraId="1F64BB3F">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05F78184">
      <w:pPr>
        <w:jc w:val="center"/>
        <w:rPr>
          <w:rFonts w:eastAsia="黑体"/>
        </w:rPr>
      </w:pPr>
      <w:r>
        <w:rPr>
          <w:rFonts w:hint="eastAsia" w:eastAsia="黑体"/>
        </w:rPr>
        <w:drawing>
          <wp:inline distT="0" distB="0" distL="114300" distR="114300">
            <wp:extent cx="5256530" cy="2988310"/>
            <wp:effectExtent l="5080" t="4445" r="1524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A940AAB">
      <w:pPr>
        <w:tabs>
          <w:tab w:val="center" w:pos="6979"/>
        </w:tabs>
        <w:spacing w:line="580" w:lineRule="exact"/>
        <w:ind w:firstLine="548" w:firstLineChars="196"/>
        <w:rPr>
          <w:rFonts w:hint="eastAsia" w:ascii="黑体" w:eastAsia="黑体"/>
          <w:b/>
          <w:sz w:val="28"/>
          <w:szCs w:val="28"/>
        </w:rPr>
      </w:pPr>
    </w:p>
    <w:p w14:paraId="7E826AED">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5CE6C3B">
      <w:pPr>
        <w:spacing w:line="560" w:lineRule="exact"/>
        <w:ind w:firstLine="560" w:firstLineChars="20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35733.59</w:t>
      </w:r>
      <w:r>
        <w:rPr>
          <w:rFonts w:hint="eastAsia" w:ascii="仿宋_GB2312" w:eastAsia="仿宋_GB2312"/>
          <w:sz w:val="28"/>
          <w:szCs w:val="28"/>
        </w:rPr>
        <w:t>万元，比上年增加10432.39万元，增长41.23%。主要原因：加大我市影视行业扶持力度，提升北京宣传文化引导基金（电影出版部分）额度。</w:t>
      </w:r>
    </w:p>
    <w:p w14:paraId="7FCBF41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3EEEE32C">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2B59D64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2024年度一般公共预算财政拨款支出35384.32万元，主要用于以下方面（按大类）：文化旅游体育与传媒支出35384.06万元，占本年财政拨款支出99.999%；社会保障和就业支出0.26万元 ，占本年财政拨款支出0.001%。</w:t>
      </w:r>
    </w:p>
    <w:p w14:paraId="7D9A2046">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5E3218B8">
      <w:pPr>
        <w:autoSpaceDE w:val="0"/>
        <w:autoSpaceDN w:val="0"/>
        <w:adjustRightInd w:val="0"/>
        <w:spacing w:line="58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highlight w:val="none"/>
        </w:rPr>
        <w:t>1、“文化旅游体育与传媒支出”（类）202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25733.32</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年度决算35384.06万元，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137.50</w:t>
      </w:r>
      <w:r>
        <w:rPr>
          <w:rFonts w:hint="eastAsia" w:ascii="仿宋_GB2312" w:eastAsia="仿宋_GB2312"/>
          <w:sz w:val="28"/>
          <w:szCs w:val="28"/>
          <w:highlight w:val="none"/>
        </w:rPr>
        <w:t>%。其中：</w:t>
      </w:r>
    </w:p>
    <w:p w14:paraId="00A0B2A7">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“文化和旅游”（款）202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16733.32</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年度决算16505.72万元，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98.64</w:t>
      </w:r>
      <w:r>
        <w:rPr>
          <w:rFonts w:hint="eastAsia" w:ascii="仿宋_GB2312" w:eastAsia="仿宋_GB2312"/>
          <w:sz w:val="28"/>
          <w:szCs w:val="28"/>
          <w:highlight w:val="none"/>
        </w:rPr>
        <w:t>%。主要原因：落实政府过紧日子要求，厉行节约，压缩一般性支出。</w:t>
      </w:r>
    </w:p>
    <w:p w14:paraId="7748807B">
      <w:pPr>
        <w:spacing w:line="580" w:lineRule="exact"/>
        <w:ind w:firstLine="560" w:firstLineChars="200"/>
        <w:rPr>
          <w:rFonts w:hint="eastAsia" w:ascii="仿宋_GB2312" w:eastAsia="仿宋_GB2312"/>
          <w:b w:val="0"/>
          <w:bCs w:val="0"/>
          <w:sz w:val="28"/>
          <w:szCs w:val="28"/>
          <w:highlight w:val="none"/>
        </w:rPr>
      </w:pPr>
      <w:r>
        <w:rPr>
          <w:rFonts w:hint="eastAsia" w:ascii="仿宋_GB2312" w:eastAsia="仿宋_GB2312"/>
          <w:b w:val="0"/>
          <w:bCs w:val="0"/>
          <w:sz w:val="28"/>
          <w:szCs w:val="28"/>
          <w:highlight w:val="none"/>
        </w:rPr>
        <w:t>“新闻出版电影”（款）202</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年度年初预算</w:t>
      </w:r>
      <w:r>
        <w:rPr>
          <w:rFonts w:hint="eastAsia" w:ascii="仿宋_GB2312" w:eastAsia="仿宋_GB2312"/>
          <w:b w:val="0"/>
          <w:bCs w:val="0"/>
          <w:sz w:val="28"/>
          <w:szCs w:val="28"/>
          <w:highlight w:val="none"/>
          <w:lang w:val="en-US" w:eastAsia="zh-CN"/>
        </w:rPr>
        <w:t>9000</w:t>
      </w:r>
      <w:r>
        <w:rPr>
          <w:rFonts w:hint="eastAsia" w:ascii="仿宋_GB2312" w:eastAsia="仿宋_GB2312"/>
          <w:b w:val="0"/>
          <w:bCs w:val="0"/>
          <w:sz w:val="28"/>
          <w:szCs w:val="28"/>
          <w:highlight w:val="none"/>
        </w:rPr>
        <w:t>万元，202</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年度决算18878.34万元，</w:t>
      </w:r>
      <w:r>
        <w:rPr>
          <w:rFonts w:hint="eastAsia" w:ascii="仿宋_GB2312" w:eastAsia="仿宋_GB2312"/>
          <w:b w:val="0"/>
          <w:bCs w:val="0"/>
          <w:sz w:val="28"/>
          <w:szCs w:val="28"/>
          <w:highlight w:val="none"/>
          <w:lang w:eastAsia="zh-CN"/>
        </w:rPr>
        <w:t>完成年初预算的</w:t>
      </w:r>
      <w:r>
        <w:rPr>
          <w:rFonts w:hint="eastAsia" w:ascii="仿宋_GB2312" w:eastAsia="仿宋_GB2312"/>
          <w:b w:val="0"/>
          <w:bCs w:val="0"/>
          <w:sz w:val="28"/>
          <w:szCs w:val="28"/>
          <w:highlight w:val="none"/>
          <w:lang w:val="en-US" w:eastAsia="zh-CN"/>
        </w:rPr>
        <w:t>209.76</w:t>
      </w:r>
      <w:r>
        <w:rPr>
          <w:rFonts w:hint="eastAsia" w:ascii="仿宋_GB2312" w:eastAsia="仿宋_GB2312"/>
          <w:b w:val="0"/>
          <w:bCs w:val="0"/>
          <w:sz w:val="28"/>
          <w:szCs w:val="28"/>
          <w:highlight w:val="none"/>
        </w:rPr>
        <w:t>%。主要原因：加大我市影视行业扶持力度，北京宣传文化引导基金（电影出版部分）项目扶持资金实际支出增加。</w:t>
      </w:r>
    </w:p>
    <w:p w14:paraId="3B6B5E23">
      <w:pPr>
        <w:pStyle w:val="2"/>
        <w:numPr>
          <w:ilvl w:val="0"/>
          <w:numId w:val="1"/>
        </w:numPr>
        <w:ind w:firstLine="560" w:firstLineChars="200"/>
        <w:rPr>
          <w:rFonts w:hint="eastAsia" w:ascii="仿宋_GB2312" w:eastAsia="仿宋_GB2312"/>
          <w:b w:val="0"/>
          <w:bCs w:val="0"/>
          <w:sz w:val="28"/>
          <w:szCs w:val="28"/>
          <w:highlight w:val="none"/>
        </w:rPr>
      </w:pPr>
      <w:r>
        <w:rPr>
          <w:rFonts w:hint="eastAsia" w:ascii="仿宋_GB2312" w:eastAsia="仿宋_GB2312"/>
          <w:b w:val="0"/>
          <w:bCs w:val="0"/>
          <w:sz w:val="28"/>
          <w:szCs w:val="28"/>
          <w:highlight w:val="none"/>
        </w:rPr>
        <w:t>“社会保障和就业支出”(类)202</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年度年初预算</w:t>
      </w:r>
      <w:r>
        <w:rPr>
          <w:rFonts w:hint="eastAsia" w:ascii="仿宋_GB2312" w:eastAsia="仿宋_GB2312"/>
          <w:b w:val="0"/>
          <w:bCs w:val="0"/>
          <w:sz w:val="28"/>
          <w:szCs w:val="28"/>
          <w:highlight w:val="none"/>
          <w:lang w:val="en-US" w:eastAsia="zh-CN"/>
        </w:rPr>
        <w:t>0.26</w:t>
      </w:r>
      <w:r>
        <w:rPr>
          <w:rFonts w:hint="eastAsia" w:ascii="仿宋_GB2312" w:eastAsia="仿宋_GB2312"/>
          <w:b w:val="0"/>
          <w:bCs w:val="0"/>
          <w:sz w:val="28"/>
          <w:szCs w:val="28"/>
          <w:highlight w:val="none"/>
        </w:rPr>
        <w:t>万元，202</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年度决算</w:t>
      </w:r>
      <w:r>
        <w:rPr>
          <w:rFonts w:hint="eastAsia" w:ascii="仿宋_GB2312" w:eastAsia="仿宋_GB2312"/>
          <w:b w:val="0"/>
          <w:bCs w:val="0"/>
          <w:sz w:val="28"/>
          <w:szCs w:val="28"/>
          <w:highlight w:val="none"/>
          <w:lang w:val="en-US" w:eastAsia="zh-CN"/>
        </w:rPr>
        <w:t>0.26</w:t>
      </w:r>
      <w:r>
        <w:rPr>
          <w:rFonts w:hint="eastAsia" w:ascii="仿宋_GB2312" w:eastAsia="仿宋_GB2312"/>
          <w:b w:val="0"/>
          <w:bCs w:val="0"/>
          <w:sz w:val="28"/>
          <w:szCs w:val="28"/>
          <w:highlight w:val="none"/>
        </w:rPr>
        <w:t>万元，</w:t>
      </w:r>
      <w:r>
        <w:rPr>
          <w:rFonts w:hint="eastAsia" w:ascii="仿宋_GB2312" w:eastAsia="仿宋_GB2312"/>
          <w:b w:val="0"/>
          <w:bCs w:val="0"/>
          <w:sz w:val="28"/>
          <w:szCs w:val="28"/>
          <w:highlight w:val="none"/>
          <w:lang w:eastAsia="zh-CN"/>
        </w:rPr>
        <w:t>完成年初预算的</w:t>
      </w:r>
      <w:r>
        <w:rPr>
          <w:rFonts w:hint="eastAsia" w:ascii="仿宋_GB2312" w:eastAsia="仿宋_GB2312"/>
          <w:b w:val="0"/>
          <w:bCs w:val="0"/>
          <w:sz w:val="28"/>
          <w:szCs w:val="28"/>
          <w:highlight w:val="none"/>
          <w:lang w:val="en-US" w:eastAsia="zh-CN"/>
        </w:rPr>
        <w:t>100</w:t>
      </w:r>
      <w:r>
        <w:rPr>
          <w:rFonts w:hint="eastAsia" w:ascii="仿宋_GB2312" w:eastAsia="仿宋_GB2312"/>
          <w:b w:val="0"/>
          <w:bCs w:val="0"/>
          <w:sz w:val="28"/>
          <w:szCs w:val="28"/>
          <w:highlight w:val="none"/>
        </w:rPr>
        <w:t>%。其中：</w:t>
      </w:r>
    </w:p>
    <w:p w14:paraId="5C60D534">
      <w:pPr>
        <w:pStyle w:val="2"/>
        <w:numPr>
          <w:ilvl w:val="0"/>
          <w:numId w:val="0"/>
        </w:numPr>
        <w:spacing w:after="0" w:afterAutospacing="0"/>
        <w:ind w:left="558" w:leftChars="266" w:firstLine="0" w:firstLineChars="0"/>
        <w:rPr>
          <w:rFonts w:hint="eastAsia" w:ascii="黑体" w:eastAsia="黑体"/>
          <w:b/>
          <w:sz w:val="28"/>
          <w:szCs w:val="28"/>
        </w:rPr>
      </w:pPr>
      <w:r>
        <w:rPr>
          <w:rFonts w:hint="eastAsia" w:ascii="仿宋_GB2312" w:eastAsia="仿宋_GB2312"/>
          <w:b w:val="0"/>
          <w:bCs w:val="0"/>
          <w:sz w:val="28"/>
          <w:szCs w:val="28"/>
          <w:highlight w:val="none"/>
        </w:rPr>
        <w:t>“行政事业单位养老支出”（款）202</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年度年初预算</w:t>
      </w:r>
      <w:r>
        <w:rPr>
          <w:rFonts w:hint="eastAsia" w:ascii="仿宋_GB2312" w:eastAsia="仿宋_GB2312"/>
          <w:b w:val="0"/>
          <w:bCs w:val="0"/>
          <w:sz w:val="28"/>
          <w:szCs w:val="28"/>
          <w:highlight w:val="none"/>
          <w:lang w:val="en-US" w:eastAsia="zh-CN"/>
        </w:rPr>
        <w:t>0.26</w:t>
      </w:r>
      <w:r>
        <w:rPr>
          <w:rFonts w:hint="eastAsia" w:ascii="仿宋_GB2312" w:eastAsia="仿宋_GB2312"/>
          <w:b w:val="0"/>
          <w:bCs w:val="0"/>
          <w:sz w:val="28"/>
          <w:szCs w:val="28"/>
          <w:highlight w:val="none"/>
        </w:rPr>
        <w:t>万元，202</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年度决算</w:t>
      </w:r>
      <w:r>
        <w:rPr>
          <w:rFonts w:hint="eastAsia" w:ascii="仿宋_GB2312" w:eastAsia="仿宋_GB2312"/>
          <w:b w:val="0"/>
          <w:bCs w:val="0"/>
          <w:sz w:val="28"/>
          <w:szCs w:val="28"/>
          <w:highlight w:val="none"/>
          <w:lang w:val="en-US" w:eastAsia="zh-CN"/>
        </w:rPr>
        <w:t>0.26</w:t>
      </w:r>
      <w:r>
        <w:rPr>
          <w:rFonts w:hint="eastAsia" w:ascii="仿宋_GB2312" w:eastAsia="仿宋_GB2312"/>
          <w:b w:val="0"/>
          <w:bCs w:val="0"/>
          <w:sz w:val="28"/>
          <w:szCs w:val="28"/>
          <w:highlight w:val="none"/>
        </w:rPr>
        <w:t>万元，</w:t>
      </w:r>
      <w:r>
        <w:rPr>
          <w:rFonts w:hint="eastAsia" w:ascii="仿宋_GB2312" w:eastAsia="仿宋_GB2312"/>
          <w:b w:val="0"/>
          <w:bCs w:val="0"/>
          <w:sz w:val="28"/>
          <w:szCs w:val="28"/>
          <w:highlight w:val="none"/>
          <w:lang w:eastAsia="zh-CN"/>
        </w:rPr>
        <w:t>完成年初预算的</w:t>
      </w:r>
      <w:r>
        <w:rPr>
          <w:rFonts w:hint="eastAsia" w:ascii="仿宋_GB2312" w:eastAsia="仿宋_GB2312"/>
          <w:b w:val="0"/>
          <w:bCs w:val="0"/>
          <w:sz w:val="28"/>
          <w:szCs w:val="28"/>
          <w:highlight w:val="none"/>
          <w:lang w:val="en-US" w:eastAsia="zh-CN"/>
        </w:rPr>
        <w:t>100</w:t>
      </w:r>
      <w:r>
        <w:rPr>
          <w:rFonts w:hint="eastAsia" w:ascii="仿宋_GB2312" w:eastAsia="仿宋_GB2312"/>
          <w:b w:val="0"/>
          <w:bCs w:val="0"/>
          <w:sz w:val="28"/>
          <w:szCs w:val="28"/>
          <w:highlight w:val="none"/>
        </w:rPr>
        <w:t>%。</w:t>
      </w:r>
      <w:r>
        <w:rPr>
          <w:rFonts w:hint="eastAsia" w:ascii="黑体" w:eastAsia="黑体"/>
          <w:b/>
          <w:sz w:val="28"/>
          <w:szCs w:val="28"/>
        </w:rPr>
        <w:t>五、政府性基金预算财政拨款支出决算情况说明</w:t>
      </w:r>
    </w:p>
    <w:p w14:paraId="15FC29E7">
      <w:pPr>
        <w:spacing w:before="51" w:beforeLines="16" w:beforeAutospacing="0"/>
        <w:ind w:left="0" w:leftChars="0" w:firstLine="537" w:firstLineChars="192"/>
        <w:rPr>
          <w:rFonts w:ascii="仿宋_GB2312" w:eastAsia="仿宋_GB2312"/>
          <w:sz w:val="28"/>
          <w:szCs w:val="28"/>
        </w:rPr>
      </w:pPr>
      <w:r>
        <w:rPr>
          <w:rFonts w:hint="eastAsia" w:ascii="仿宋_GB2312" w:eastAsia="仿宋_GB2312"/>
          <w:sz w:val="28"/>
          <w:szCs w:val="28"/>
        </w:rPr>
        <w:t>本单位无此项支出。</w:t>
      </w:r>
    </w:p>
    <w:p w14:paraId="37755D5A">
      <w:pPr>
        <w:spacing w:line="580" w:lineRule="exact"/>
        <w:ind w:firstLine="560" w:firstLineChars="200"/>
        <w:jc w:val="both"/>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8369DCD">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0A5E5B8F">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7FA26173">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w:t>
      </w:r>
      <w:r>
        <w:rPr>
          <w:rFonts w:hint="eastAsia" w:ascii="仿宋_GB2312" w:eastAsia="仿宋_GB2312"/>
          <w:sz w:val="28"/>
          <w:szCs w:val="28"/>
          <w:highlight w:val="none"/>
        </w:rPr>
        <w:t>出</w:t>
      </w:r>
      <w:r>
        <w:rPr>
          <w:rFonts w:ascii="仿宋_GB2312" w:eastAsia="仿宋_GB2312"/>
          <w:sz w:val="28"/>
          <w:szCs w:val="28"/>
        </w:rPr>
        <w:t>1026.3</w:t>
      </w:r>
      <w:r>
        <w:rPr>
          <w:rFonts w:hint="eastAsia" w:ascii="仿宋_GB2312" w:eastAsia="仿宋_GB2312"/>
          <w:sz w:val="28"/>
          <w:szCs w:val="28"/>
        </w:rPr>
        <w:t>0万元，使用政府性基金财政拨款安排基本支出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6437A63F">
      <w:pPr>
        <w:autoSpaceDE w:val="0"/>
        <w:autoSpaceDN w:val="0"/>
        <w:adjustRightInd w:val="0"/>
        <w:spacing w:line="580" w:lineRule="exact"/>
        <w:jc w:val="both"/>
        <w:rPr>
          <w:rFonts w:hint="eastAsia" w:ascii="宋体" w:hAnsi="宋体"/>
          <w:b/>
          <w:spacing w:val="40"/>
          <w:sz w:val="32"/>
          <w:szCs w:val="32"/>
        </w:rPr>
      </w:pPr>
      <w:r>
        <w:rPr>
          <w:rFonts w:ascii="仿宋_GB2312" w:eastAsia="仿宋_GB2312"/>
          <w:sz w:val="28"/>
          <w:szCs w:val="28"/>
        </w:rPr>
        <w:br w:type="page"/>
      </w:r>
      <w:r>
        <w:rPr>
          <w:rFonts w:ascii="仿宋_GB2312" w:eastAsia="仿宋_GB2312"/>
          <w:b/>
          <w:sz w:val="32"/>
          <w:szCs w:val="32"/>
        </w:rPr>
        <w:tab/>
      </w:r>
    </w:p>
    <w:p w14:paraId="29B7527D">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058532D">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76F5D249">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年度“三公”经费财政拨款年初预算数</w:t>
      </w:r>
      <w:r>
        <w:rPr>
          <w:rFonts w:hint="eastAsia" w:ascii="仿宋_GB2312" w:eastAsia="仿宋_GB2312"/>
          <w:sz w:val="28"/>
          <w:szCs w:val="28"/>
          <w:highlight w:val="none"/>
        </w:rPr>
        <w:t>持平</w:t>
      </w:r>
      <w:r>
        <w:rPr>
          <w:rFonts w:hint="eastAsia" w:ascii="仿宋_GB2312" w:eastAsia="仿宋_GB2312"/>
          <w:sz w:val="28"/>
          <w:szCs w:val="28"/>
        </w:rPr>
        <w:t>。其中：</w:t>
      </w:r>
    </w:p>
    <w:p w14:paraId="689799EF">
      <w:pPr>
        <w:numPr>
          <w:ilvl w:val="0"/>
          <w:numId w:val="2"/>
        </w:numPr>
        <w:spacing w:line="560" w:lineRule="exact"/>
        <w:ind w:firstLine="600"/>
        <w:rPr>
          <w:rFonts w:hint="eastAsia" w:ascii="仿宋_GB2312" w:eastAsia="仿宋_GB2312"/>
          <w:sz w:val="28"/>
          <w:szCs w:val="28"/>
        </w:rPr>
      </w:pPr>
      <w:r>
        <w:rPr>
          <w:rFonts w:hint="eastAsia" w:ascii="仿宋_GB2312" w:eastAsia="仿宋_GB2312"/>
          <w:sz w:val="28"/>
          <w:szCs w:val="28"/>
        </w:rPr>
        <w:t>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highlight w:val="none"/>
        </w:rPr>
        <w:t>持平</w:t>
      </w:r>
      <w:r>
        <w:rPr>
          <w:rFonts w:hint="eastAsia" w:ascii="仿宋_GB2312" w:eastAsia="仿宋_GB2312"/>
          <w:sz w:val="28"/>
          <w:szCs w:val="28"/>
        </w:rPr>
        <w:t>。</w:t>
      </w:r>
    </w:p>
    <w:p w14:paraId="7C97DE44">
      <w:pPr>
        <w:numPr>
          <w:ilvl w:val="0"/>
          <w:numId w:val="2"/>
        </w:numPr>
        <w:spacing w:line="560" w:lineRule="exact"/>
        <w:ind w:firstLine="600"/>
        <w:rPr>
          <w:rFonts w:hint="eastAsia" w:ascii="仿宋_GB2312" w:eastAsia="仿宋_GB2312"/>
          <w:sz w:val="28"/>
          <w:szCs w:val="28"/>
        </w:rPr>
      </w:pPr>
      <w:r>
        <w:rPr>
          <w:rFonts w:hint="eastAsia" w:ascii="仿宋_GB2312" w:eastAsia="仿宋_GB2312"/>
          <w:sz w:val="28"/>
          <w:szCs w:val="28"/>
        </w:rPr>
        <w:t>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highlight w:val="none"/>
        </w:rPr>
        <w:t>持平</w:t>
      </w:r>
      <w:r>
        <w:rPr>
          <w:rFonts w:hint="eastAsia" w:ascii="仿宋_GB2312" w:eastAsia="仿宋_GB2312"/>
          <w:sz w:val="28"/>
          <w:szCs w:val="28"/>
        </w:rPr>
        <w:t>。</w:t>
      </w:r>
    </w:p>
    <w:p w14:paraId="2FD8B021">
      <w:pPr>
        <w:numPr>
          <w:ilvl w:val="0"/>
          <w:numId w:val="2"/>
        </w:numPr>
        <w:spacing w:line="560" w:lineRule="exact"/>
        <w:ind w:left="0" w:leftChars="0" w:firstLine="600" w:firstLineChars="0"/>
        <w:rPr>
          <w:rFonts w:hint="eastAsia" w:ascii="仿宋_GB2312" w:eastAsia="仿宋_GB2312"/>
          <w:sz w:val="28"/>
          <w:szCs w:val="28"/>
        </w:rPr>
      </w:pPr>
      <w:r>
        <w:rPr>
          <w:rFonts w:hint="eastAsia" w:ascii="仿宋_GB2312" w:eastAsia="仿宋_GB2312"/>
          <w:sz w:val="28"/>
          <w:szCs w:val="28"/>
        </w:rPr>
        <w:t>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highlight w:val="none"/>
        </w:rPr>
        <w:t>持平</w:t>
      </w:r>
      <w:r>
        <w:rPr>
          <w:rFonts w:hint="eastAsia" w:ascii="仿宋_GB2312" w:eastAsia="仿宋_GB2312"/>
          <w:sz w:val="28"/>
          <w:szCs w:val="28"/>
        </w:rPr>
        <w:t>。其中，公务用车购置费202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14:paraId="7307B6FC">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3D3902C0">
      <w:pPr>
        <w:ind w:left="540"/>
        <w:rPr>
          <w:rFonts w:hint="eastAsia" w:ascii="仿宋_GB2312" w:eastAsia="仿宋_GB2312"/>
          <w:sz w:val="28"/>
          <w:szCs w:val="28"/>
        </w:rPr>
      </w:pPr>
      <w:r>
        <w:rPr>
          <w:rFonts w:hint="eastAsia" w:ascii="仿宋_GB2312" w:eastAsia="仿宋_GB2312"/>
          <w:sz w:val="28"/>
          <w:szCs w:val="28"/>
        </w:rPr>
        <w:t>本单位不在机关运行经费统计范围之内。</w:t>
      </w:r>
    </w:p>
    <w:p w14:paraId="0B909734">
      <w:pPr>
        <w:ind w:left="540"/>
        <w:rPr>
          <w:rFonts w:hint="eastAsia" w:ascii="黑体" w:eastAsia="黑体"/>
          <w:sz w:val="28"/>
          <w:szCs w:val="28"/>
        </w:rPr>
      </w:pPr>
      <w:r>
        <w:rPr>
          <w:rFonts w:hint="eastAsia" w:ascii="黑体" w:eastAsia="黑体"/>
          <w:sz w:val="28"/>
          <w:szCs w:val="28"/>
        </w:rPr>
        <w:t>三、政府采购支出情况</w:t>
      </w:r>
    </w:p>
    <w:p w14:paraId="66184167">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566.08</w:t>
      </w:r>
      <w:r>
        <w:rPr>
          <w:rFonts w:hint="eastAsia" w:ascii="仿宋_GB2312" w:eastAsia="仿宋_GB2312"/>
          <w:sz w:val="28"/>
          <w:szCs w:val="28"/>
        </w:rPr>
        <w:t>万元，其中：政府采购货物支出</w:t>
      </w:r>
      <w:r>
        <w:rPr>
          <w:rFonts w:ascii="仿宋_GB2312" w:eastAsia="仿宋_GB2312"/>
          <w:sz w:val="28"/>
          <w:szCs w:val="28"/>
        </w:rPr>
        <w:t>6.73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559.3</w:t>
      </w:r>
      <w:r>
        <w:rPr>
          <w:rFonts w:hint="eastAsia" w:ascii="仿宋_GB2312" w:eastAsia="仿宋_GB2312"/>
          <w:sz w:val="28"/>
          <w:szCs w:val="28"/>
          <w:lang w:val="en-US" w:eastAsia="zh-CN"/>
        </w:rPr>
        <w:t>5</w:t>
      </w:r>
      <w:r>
        <w:rPr>
          <w:rFonts w:hint="eastAsia" w:ascii="仿宋_GB2312" w:eastAsia="仿宋_GB2312"/>
          <w:sz w:val="28"/>
          <w:szCs w:val="28"/>
        </w:rPr>
        <w:t>万元。授予中小企业合同金额</w:t>
      </w:r>
      <w:r>
        <w:rPr>
          <w:rFonts w:ascii="仿宋_GB2312" w:eastAsia="仿宋_GB2312"/>
          <w:sz w:val="28"/>
          <w:szCs w:val="28"/>
        </w:rPr>
        <w:t>541.67</w:t>
      </w:r>
      <w:r>
        <w:rPr>
          <w:rFonts w:hint="eastAsia" w:ascii="仿宋_GB2312" w:eastAsia="仿宋_GB2312"/>
          <w:sz w:val="28"/>
          <w:szCs w:val="28"/>
        </w:rPr>
        <w:t>万元，占政府采购支出总额的</w:t>
      </w:r>
      <w:r>
        <w:rPr>
          <w:rFonts w:hint="eastAsia" w:ascii="仿宋_GB2312" w:eastAsia="仿宋_GB2312"/>
          <w:sz w:val="28"/>
          <w:szCs w:val="28"/>
          <w:lang w:eastAsia="zh-CN"/>
        </w:rPr>
        <w:t>95.69</w:t>
      </w:r>
      <w:r>
        <w:rPr>
          <w:rFonts w:hint="eastAsia" w:ascii="仿宋_GB2312" w:eastAsia="仿宋_GB2312"/>
          <w:sz w:val="28"/>
          <w:szCs w:val="28"/>
        </w:rPr>
        <w:t>%，其中：授予小微企业合同金额</w:t>
      </w:r>
      <w:r>
        <w:rPr>
          <w:rFonts w:ascii="仿宋_GB2312" w:eastAsia="仿宋_GB2312"/>
          <w:sz w:val="28"/>
          <w:szCs w:val="28"/>
        </w:rPr>
        <w:t>429.73</w:t>
      </w:r>
      <w:r>
        <w:rPr>
          <w:rFonts w:hint="eastAsia" w:ascii="仿宋_GB2312" w:eastAsia="仿宋_GB2312"/>
          <w:sz w:val="28"/>
          <w:szCs w:val="28"/>
        </w:rPr>
        <w:t>万元，占政府采购支出总额的</w:t>
      </w:r>
      <w:r>
        <w:rPr>
          <w:rFonts w:ascii="仿宋_GB2312" w:eastAsia="仿宋_GB2312"/>
          <w:sz w:val="28"/>
          <w:szCs w:val="28"/>
        </w:rPr>
        <w:t>75.91</w:t>
      </w:r>
      <w:r>
        <w:rPr>
          <w:rFonts w:hint="eastAsia" w:ascii="仿宋_GB2312" w:eastAsia="仿宋_GB2312"/>
          <w:sz w:val="28"/>
          <w:szCs w:val="28"/>
        </w:rPr>
        <w:t>%。</w:t>
      </w:r>
    </w:p>
    <w:p w14:paraId="434E215A">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B69E9E2">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12月31日，北京市宣传思想文化人才发展中心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717E6630">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42E12B4C">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20CAA94E">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5033554E">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291FD2B7">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0059E016">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A3E58F7">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7EDDF6C8">
      <w:pPr>
        <w:ind w:firstLine="560" w:firstLineChars="20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482A076">
      <w:pPr>
        <w:ind w:firstLine="560" w:firstLineChars="20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43BB91D3">
      <w:pPr>
        <w:ind w:firstLine="560" w:firstLineChars="200"/>
        <w:jc w:val="both"/>
        <w:rPr>
          <w:rFonts w:ascii="仿宋_GB2312" w:eastAsia="仿宋_GB2312"/>
          <w:sz w:val="28"/>
          <w:szCs w:val="28"/>
        </w:rPr>
      </w:pPr>
      <w:r>
        <w:rPr>
          <w:rFonts w:hint="eastAsia" w:ascii="仿宋_GB2312" w:eastAsia="仿宋_GB2312"/>
          <w:sz w:val="28"/>
          <w:szCs w:val="28"/>
        </w:rPr>
        <w:t>7.文化旅游体育与传媒支出（类）文化和旅游（款）机关服务（项）：反映为行政单位（包括实行公务员管理的事业单位）提供后勤服务的各类后勤服务中心、医务室等附属事业单位的支出。</w:t>
      </w:r>
    </w:p>
    <w:p w14:paraId="6AA2AB69">
      <w:pPr>
        <w:spacing w:line="560" w:lineRule="exact"/>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文化旅游体育与传媒支出（类）文化和旅游（款）文化活动（项）：反映举办大型文化艺术活动的支出。</w:t>
      </w:r>
    </w:p>
    <w:p w14:paraId="511F3873">
      <w:pPr>
        <w:spacing w:line="560" w:lineRule="exact"/>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文化旅游体育与传媒支出（类）文化和旅游（款）其他文化和旅游支出（项）：反映其他用于文化和旅游方面的支出。</w:t>
      </w:r>
    </w:p>
    <w:p w14:paraId="719F56B8">
      <w:pPr>
        <w:spacing w:line="560" w:lineRule="exact"/>
        <w:ind w:firstLine="560" w:firstLineChars="200"/>
        <w:rPr>
          <w:rFonts w:ascii="仿宋_GB2312" w:eastAsia="仿宋_GB2312"/>
          <w:sz w:val="28"/>
          <w:szCs w:val="28"/>
        </w:rPr>
      </w:pPr>
      <w:r>
        <w:rPr>
          <w:rFonts w:hint="eastAsia" w:ascii="仿宋_GB2312" w:eastAsia="仿宋_GB2312"/>
          <w:sz w:val="28"/>
          <w:szCs w:val="28"/>
        </w:rPr>
        <w:t>文化旅游体育与传媒支出（类）新闻出版电影（款）其他新闻出版电影支出（项）：反映其他用于新闻出版电影方面的支出。</w:t>
      </w:r>
    </w:p>
    <w:p w14:paraId="265BAF03">
      <w:pPr>
        <w:spacing w:line="560" w:lineRule="exact"/>
        <w:ind w:firstLine="560" w:firstLineChars="200"/>
        <w:rPr>
          <w:rFonts w:ascii="仿宋_GB2312" w:eastAsia="仿宋_GB2312"/>
          <w:sz w:val="28"/>
          <w:szCs w:val="28"/>
        </w:rPr>
      </w:pPr>
      <w:r>
        <w:rPr>
          <w:rFonts w:hint="eastAsia" w:ascii="仿宋_GB2312" w:eastAsia="仿宋_GB2312"/>
          <w:sz w:val="28"/>
          <w:szCs w:val="28"/>
        </w:rPr>
        <w:t>社会保障和就业支出（类）行政事业单位养老支出（款）行政单位离退休（项）：反映行政单位（包括实行公务员管理的事业单位）开支的离退休经费。</w:t>
      </w:r>
    </w:p>
    <w:p w14:paraId="3695E1F5">
      <w:pPr>
        <w:rPr>
          <w:rFonts w:ascii="仿宋_GB2312" w:eastAsia="仿宋_GB2312"/>
          <w:sz w:val="28"/>
          <w:szCs w:val="28"/>
        </w:rPr>
      </w:pPr>
    </w:p>
    <w:p w14:paraId="1E86DB73">
      <w:pPr>
        <w:jc w:val="both"/>
        <w:rPr>
          <w:rFonts w:hint="eastAsia" w:ascii="黑体" w:eastAsia="黑体"/>
          <w:sz w:val="32"/>
          <w:szCs w:val="32"/>
        </w:rPr>
      </w:pPr>
    </w:p>
    <w:p w14:paraId="706160AB">
      <w:pPr>
        <w:tabs>
          <w:tab w:val="center" w:pos="6979"/>
        </w:tabs>
        <w:spacing w:line="380" w:lineRule="exact"/>
        <w:jc w:val="center"/>
        <w:rPr>
          <w:rFonts w:ascii="宋体" w:hAnsi="宋体" w:cs="宋体"/>
          <w:b/>
          <w:bCs/>
          <w:kern w:val="0"/>
          <w:sz w:val="28"/>
          <w:szCs w:val="28"/>
        </w:rPr>
      </w:pPr>
    </w:p>
    <w:p w14:paraId="6807718B">
      <w:pPr>
        <w:tabs>
          <w:tab w:val="center" w:pos="6979"/>
        </w:tabs>
        <w:spacing w:line="380" w:lineRule="exact"/>
        <w:jc w:val="center"/>
        <w:rPr>
          <w:rFonts w:ascii="宋体" w:hAnsi="宋体" w:cs="宋体"/>
          <w:b/>
          <w:bCs/>
          <w:kern w:val="0"/>
          <w:sz w:val="28"/>
          <w:szCs w:val="28"/>
        </w:rPr>
      </w:pPr>
    </w:p>
    <w:p w14:paraId="22C326D3">
      <w:pPr>
        <w:jc w:val="both"/>
        <w:rPr>
          <w:rFonts w:hint="eastAsia" w:ascii="黑体" w:eastAsia="黑体"/>
          <w:sz w:val="32"/>
          <w:szCs w:val="32"/>
        </w:rPr>
      </w:pPr>
    </w:p>
    <w:p w14:paraId="29CEB586">
      <w:pPr>
        <w:ind w:firstLine="640" w:firstLineChars="200"/>
        <w:jc w:val="center"/>
        <w:rPr>
          <w:rFonts w:hint="eastAsia" w:ascii="黑体" w:eastAsia="黑体"/>
          <w:sz w:val="32"/>
          <w:szCs w:val="32"/>
        </w:rPr>
      </w:pPr>
    </w:p>
    <w:p w14:paraId="0AE279C3">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年度绩效评价情况</w:t>
      </w:r>
    </w:p>
    <w:p w14:paraId="232A0C6E">
      <w:pPr>
        <w:ind w:firstLine="560" w:firstLineChars="200"/>
        <w:rPr>
          <w:rFonts w:hint="eastAsia" w:ascii="黑体" w:eastAsia="黑体"/>
          <w:sz w:val="28"/>
          <w:szCs w:val="28"/>
          <w:highlight w:val="yellow"/>
        </w:rPr>
      </w:pPr>
    </w:p>
    <w:p w14:paraId="2CB3A513">
      <w:pPr>
        <w:ind w:firstLine="560" w:firstLineChars="200"/>
        <w:rPr>
          <w:rFonts w:ascii="黑体" w:eastAsia="黑体"/>
          <w:sz w:val="28"/>
          <w:szCs w:val="28"/>
        </w:rPr>
      </w:pPr>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58BAD5FD">
      <w:pPr>
        <w:ind w:firstLine="560" w:firstLineChars="200"/>
        <w:rPr>
          <w:rFonts w:ascii="黑体" w:eastAsia="黑体"/>
          <w:sz w:val="28"/>
          <w:szCs w:val="28"/>
        </w:rPr>
      </w:pPr>
    </w:p>
    <w:p w14:paraId="029119BD">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AD4F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7D10D1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296C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F26271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6D1C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27F1440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7A7CDE"/>
    <w:multiLevelType w:val="singleLevel"/>
    <w:tmpl w:val="B17A7CDE"/>
    <w:lvl w:ilvl="0" w:tentative="0">
      <w:start w:val="2"/>
      <w:numFmt w:val="decimal"/>
      <w:suff w:val="nothing"/>
      <w:lvlText w:val="%1、"/>
      <w:lvlJc w:val="left"/>
    </w:lvl>
  </w:abstractNum>
  <w:abstractNum w:abstractNumId="1">
    <w:nsid w:val="D0FBBB4E"/>
    <w:multiLevelType w:val="singleLevel"/>
    <w:tmpl w:val="D0FBBB4E"/>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0C4538"/>
    <w:rsid w:val="032B5196"/>
    <w:rsid w:val="033401FC"/>
    <w:rsid w:val="04C3537C"/>
    <w:rsid w:val="079004AC"/>
    <w:rsid w:val="091A6AE6"/>
    <w:rsid w:val="0A9E093B"/>
    <w:rsid w:val="0BA148CA"/>
    <w:rsid w:val="0C1165C4"/>
    <w:rsid w:val="0C275F3F"/>
    <w:rsid w:val="0D6D544B"/>
    <w:rsid w:val="0DD136FE"/>
    <w:rsid w:val="0E590C48"/>
    <w:rsid w:val="0F1D4EF7"/>
    <w:rsid w:val="0F8E2C57"/>
    <w:rsid w:val="1059665E"/>
    <w:rsid w:val="10AC13BA"/>
    <w:rsid w:val="145A6C1B"/>
    <w:rsid w:val="14B73493"/>
    <w:rsid w:val="155C18CD"/>
    <w:rsid w:val="167A2FF9"/>
    <w:rsid w:val="18581C69"/>
    <w:rsid w:val="1AEC0734"/>
    <w:rsid w:val="1DEF20B0"/>
    <w:rsid w:val="214243FA"/>
    <w:rsid w:val="21AD613C"/>
    <w:rsid w:val="22467189"/>
    <w:rsid w:val="22C74F17"/>
    <w:rsid w:val="241938C6"/>
    <w:rsid w:val="25146B32"/>
    <w:rsid w:val="257A14F5"/>
    <w:rsid w:val="27196C26"/>
    <w:rsid w:val="29EF086F"/>
    <w:rsid w:val="2E611721"/>
    <w:rsid w:val="2EFFE297"/>
    <w:rsid w:val="2F9E19D5"/>
    <w:rsid w:val="301437CA"/>
    <w:rsid w:val="349D1F0A"/>
    <w:rsid w:val="34DD0473"/>
    <w:rsid w:val="34FD6719"/>
    <w:rsid w:val="3A412305"/>
    <w:rsid w:val="3C684897"/>
    <w:rsid w:val="433E495C"/>
    <w:rsid w:val="489F2FD7"/>
    <w:rsid w:val="4AC27CB3"/>
    <w:rsid w:val="4BF72BEF"/>
    <w:rsid w:val="4FA90297"/>
    <w:rsid w:val="4FC41A43"/>
    <w:rsid w:val="4FC7696F"/>
    <w:rsid w:val="51DB3C59"/>
    <w:rsid w:val="550C0952"/>
    <w:rsid w:val="55762E42"/>
    <w:rsid w:val="56ED005A"/>
    <w:rsid w:val="57A7B272"/>
    <w:rsid w:val="58470068"/>
    <w:rsid w:val="58747CAC"/>
    <w:rsid w:val="59BE280D"/>
    <w:rsid w:val="5A1720F9"/>
    <w:rsid w:val="5A6D217B"/>
    <w:rsid w:val="5B9C37C2"/>
    <w:rsid w:val="5BA7C654"/>
    <w:rsid w:val="5BBA4F76"/>
    <w:rsid w:val="5D3C099D"/>
    <w:rsid w:val="602E11D1"/>
    <w:rsid w:val="6065020A"/>
    <w:rsid w:val="60A54109"/>
    <w:rsid w:val="61936218"/>
    <w:rsid w:val="61D01CDF"/>
    <w:rsid w:val="63D90DE9"/>
    <w:rsid w:val="64C0607C"/>
    <w:rsid w:val="65756C86"/>
    <w:rsid w:val="674D385B"/>
    <w:rsid w:val="676F09E1"/>
    <w:rsid w:val="68E54ABA"/>
    <w:rsid w:val="6CD72490"/>
    <w:rsid w:val="7141437C"/>
    <w:rsid w:val="7357290B"/>
    <w:rsid w:val="768C4CA5"/>
    <w:rsid w:val="785D40D9"/>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a:ln>
              <a:noFill/>
            </a:ln>
          </c:spPr>
          <c:explosion val="0"/>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Lbls>
            <c:dLbl>
              <c:idx val="0"/>
              <c:layout>
                <c:manualLayout>
                  <c:x val="-0.0240176847529355"/>
                  <c:y val="-0.123376147692546"/>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财政拨款收入</c:v>
                </c:pt>
              </c:strCache>
            </c:strRef>
          </c:cat>
          <c:val>
            <c:numRef>
              <c:f>Sheet1!$B$2:$B$5</c:f>
              <c:numCache>
                <c:formatCode>General</c:formatCode>
                <c:ptCount val="4"/>
                <c:pt idx="0">
                  <c:v>35733.59</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egendEntry>
        <c:idx val="1"/>
        <c:delete val="1"/>
      </c:legendEntry>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9507c09-2160-4463-8f6a-8054d93cde49}"/>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a:t>
            </a:r>
            <a:endParaRPr lang="zh-CN" altLang="en-US"/>
          </a:p>
        </c:rich>
      </c:tx>
      <c:layout>
        <c:manualLayout>
          <c:xMode val="edge"/>
          <c:yMode val="edge"/>
          <c:x val="0.442135781589756"/>
          <c:y val="0.022311942201445"/>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014425019949762"/>
                  <c:y val="0.011290143491947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252463074408193"/>
                  <c:y val="-0.13978400202123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1026.3</c:v>
                </c:pt>
                <c:pt idx="1">
                  <c:v>34358.03</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b"/>
      <c:legendEntry>
        <c:idx val="2"/>
        <c:delete val="1"/>
      </c:legendEntry>
      <c:legendEntry>
        <c:idx val="3"/>
        <c:delete val="1"/>
      </c:legendEntry>
      <c:layout>
        <c:manualLayout>
          <c:xMode val="edge"/>
          <c:yMode val="edge"/>
          <c:x val="0.3810703068374"/>
          <c:y val="0.90055248618784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fec08f7-4435-4a57-921e-9a572e02d5b9}"/>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3250</Words>
  <Characters>3662</Characters>
  <Lines>44</Lines>
  <Paragraphs>12</Paragraphs>
  <TotalTime>1</TotalTime>
  <ScaleCrop>false</ScaleCrop>
  <LinksUpToDate>false</LinksUpToDate>
  <CharactersWithSpaces>3680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2025-08-20T09:42:00Z</cp:lastPrinted>
  <dcterms:modified xsi:type="dcterms:W3CDTF">2025-09-08T01:49:18Z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