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F2E" w:rsidRDefault="00C13F2E">
      <w:pPr>
        <w:jc w:val="center"/>
        <w:rPr>
          <w:rFonts w:ascii="黑体" w:eastAsia="黑体" w:hint="eastAsia"/>
          <w:sz w:val="72"/>
          <w:szCs w:val="72"/>
        </w:rPr>
      </w:pPr>
    </w:p>
    <w:p w:rsidR="00C13F2E" w:rsidRDefault="00C13F2E">
      <w:pPr>
        <w:jc w:val="center"/>
        <w:rPr>
          <w:rFonts w:ascii="黑体" w:eastAsia="黑体"/>
          <w:sz w:val="72"/>
          <w:szCs w:val="72"/>
        </w:rPr>
      </w:pPr>
    </w:p>
    <w:p w:rsidR="00C13F2E" w:rsidRDefault="00C13F2E">
      <w:pPr>
        <w:jc w:val="center"/>
        <w:rPr>
          <w:rFonts w:ascii="黑体" w:eastAsia="黑体"/>
          <w:sz w:val="72"/>
          <w:szCs w:val="72"/>
        </w:rPr>
      </w:pPr>
    </w:p>
    <w:p w:rsidR="00C13F2E" w:rsidRDefault="009014BE">
      <w:pPr>
        <w:jc w:val="center"/>
        <w:rPr>
          <w:rFonts w:ascii="黑体" w:eastAsia="黑体"/>
          <w:sz w:val="72"/>
          <w:szCs w:val="72"/>
        </w:rPr>
      </w:pPr>
      <w:r>
        <w:rPr>
          <w:rFonts w:ascii="黑体" w:eastAsia="黑体" w:hint="eastAsia"/>
          <w:sz w:val="72"/>
          <w:szCs w:val="72"/>
        </w:rPr>
        <w:t>中国共产党早期北京革命活动纪念馆</w:t>
      </w:r>
    </w:p>
    <w:p w:rsidR="00C13F2E" w:rsidRDefault="009014BE">
      <w:pPr>
        <w:jc w:val="center"/>
        <w:rPr>
          <w:rFonts w:ascii="黑体" w:eastAsia="黑体"/>
          <w:sz w:val="72"/>
          <w:szCs w:val="72"/>
        </w:rPr>
      </w:pPr>
      <w:r>
        <w:rPr>
          <w:rFonts w:ascii="黑体" w:eastAsia="黑体" w:hint="eastAsia"/>
          <w:sz w:val="72"/>
          <w:szCs w:val="72"/>
        </w:rPr>
        <w:t>2023年度决算公开</w:t>
      </w:r>
    </w:p>
    <w:p w:rsidR="00C13F2E" w:rsidRDefault="00C13F2E">
      <w:pPr>
        <w:jc w:val="center"/>
        <w:rPr>
          <w:rFonts w:ascii="黑体" w:eastAsia="黑体"/>
          <w:sz w:val="72"/>
          <w:szCs w:val="72"/>
        </w:rPr>
      </w:pPr>
    </w:p>
    <w:p w:rsidR="00C13F2E" w:rsidRDefault="00C13F2E">
      <w:pPr>
        <w:jc w:val="center"/>
        <w:rPr>
          <w:rFonts w:ascii="黑体" w:eastAsia="黑体"/>
          <w:sz w:val="72"/>
          <w:szCs w:val="72"/>
        </w:rPr>
      </w:pPr>
    </w:p>
    <w:p w:rsidR="00C13F2E" w:rsidRDefault="00C13F2E">
      <w:pPr>
        <w:jc w:val="center"/>
        <w:rPr>
          <w:rFonts w:ascii="黑体" w:eastAsia="黑体"/>
          <w:sz w:val="72"/>
          <w:szCs w:val="72"/>
        </w:rPr>
      </w:pPr>
    </w:p>
    <w:p w:rsidR="00C13F2E" w:rsidRDefault="00C13F2E" w:rsidP="00BA1885">
      <w:pPr>
        <w:pStyle w:val="a0"/>
        <w:ind w:firstLine="1440"/>
        <w:rPr>
          <w:rFonts w:ascii="黑体" w:eastAsia="黑体"/>
          <w:sz w:val="72"/>
          <w:szCs w:val="72"/>
        </w:rPr>
      </w:pPr>
    </w:p>
    <w:p w:rsidR="00C13F2E" w:rsidRDefault="00C13F2E" w:rsidP="00BA1885">
      <w:pPr>
        <w:pStyle w:val="a0"/>
        <w:ind w:firstLine="420"/>
        <w:jc w:val="center"/>
        <w:sectPr w:rsidR="00C13F2E">
          <w:pgSz w:w="16838" w:h="11906" w:orient="landscape"/>
          <w:pgMar w:top="1134" w:right="1134" w:bottom="1134" w:left="1134" w:header="851" w:footer="992" w:gutter="0"/>
          <w:cols w:space="720"/>
          <w:docGrid w:type="linesAndChars" w:linePitch="312"/>
        </w:sectPr>
      </w:pPr>
    </w:p>
    <w:p w:rsidR="00C13F2E" w:rsidRDefault="009014BE">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C13F2E" w:rsidRDefault="00C13F2E">
      <w:pPr>
        <w:spacing w:line="500" w:lineRule="exact"/>
        <w:ind w:firstLine="645"/>
        <w:jc w:val="center"/>
        <w:rPr>
          <w:rFonts w:ascii="宋体" w:hAnsi="宋体" w:cs="宋体"/>
          <w:b/>
          <w:bCs/>
          <w:kern w:val="0"/>
          <w:sz w:val="36"/>
          <w:szCs w:val="36"/>
        </w:rPr>
      </w:pPr>
    </w:p>
    <w:p w:rsidR="00C13F2E" w:rsidRDefault="009014BE">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2023年度决算报表</w:t>
      </w:r>
    </w:p>
    <w:p w:rsidR="00C13F2E" w:rsidRDefault="009014BE">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五、一般公共预算财政拨款收入支出决算表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六、一般公共预算财政拨款支出决算表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七、一般公共预算财政拨款</w:t>
      </w:r>
      <w:r>
        <w:rPr>
          <w:rFonts w:ascii="仿宋_GB2312" w:eastAsia="仿宋_GB2312" w:hAnsi="仿宋" w:cs="宋体"/>
          <w:bCs/>
          <w:spacing w:val="40"/>
          <w:kern w:val="0"/>
          <w:sz w:val="32"/>
          <w:szCs w:val="32"/>
        </w:rPr>
        <w:t>基本支出决算表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十、国有资本经营预算财政拨款支出决算表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十一、财政拨款“三公”经费支出决算表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十二、政府采购情况表</w:t>
      </w:r>
    </w:p>
    <w:p w:rsidR="00C13F2E" w:rsidRDefault="009014BE">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十三、政府购买服务决算公开情况表</w:t>
      </w:r>
    </w:p>
    <w:p w:rsidR="00C13F2E" w:rsidRDefault="009014BE">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第二部分 2023年度决算说明</w:t>
      </w:r>
    </w:p>
    <w:p w:rsidR="00C13F2E" w:rsidRDefault="009014BE">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第三部分 2023年度其他重要事项的情况说明</w:t>
      </w:r>
    </w:p>
    <w:p w:rsidR="00C13F2E" w:rsidRDefault="009014BE">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第四部分 2023年度绩效评价情况</w:t>
      </w:r>
    </w:p>
    <w:p w:rsidR="00C13F2E" w:rsidRDefault="00C13F2E">
      <w:pPr>
        <w:tabs>
          <w:tab w:val="center" w:pos="6979"/>
        </w:tabs>
        <w:spacing w:beforeLines="50" w:before="156" w:afterLines="50" w:after="156"/>
        <w:jc w:val="center"/>
        <w:rPr>
          <w:rFonts w:ascii="宋体" w:hAnsi="宋体" w:cs="宋体"/>
          <w:b/>
          <w:bCs/>
          <w:spacing w:val="40"/>
          <w:kern w:val="0"/>
          <w:sz w:val="32"/>
          <w:szCs w:val="32"/>
        </w:rPr>
      </w:pPr>
    </w:p>
    <w:p w:rsidR="00C13F2E" w:rsidRDefault="00C13F2E">
      <w:pPr>
        <w:tabs>
          <w:tab w:val="center" w:pos="6979"/>
        </w:tabs>
        <w:spacing w:beforeLines="50" w:before="156" w:afterLines="50" w:after="156"/>
        <w:jc w:val="center"/>
        <w:rPr>
          <w:rFonts w:ascii="宋体" w:hAnsi="宋体" w:cs="宋体"/>
          <w:b/>
          <w:bCs/>
          <w:spacing w:val="40"/>
          <w:kern w:val="0"/>
          <w:sz w:val="32"/>
          <w:szCs w:val="32"/>
        </w:rPr>
      </w:pPr>
    </w:p>
    <w:p w:rsidR="00C13F2E" w:rsidRDefault="00C13F2E">
      <w:pPr>
        <w:tabs>
          <w:tab w:val="center" w:pos="6979"/>
        </w:tabs>
        <w:spacing w:beforeLines="50" w:before="156" w:afterLines="50" w:after="156"/>
        <w:jc w:val="center"/>
        <w:rPr>
          <w:rFonts w:ascii="宋体" w:hAnsi="宋体" w:cs="宋体"/>
          <w:b/>
          <w:bCs/>
          <w:spacing w:val="40"/>
          <w:kern w:val="0"/>
          <w:sz w:val="32"/>
          <w:szCs w:val="32"/>
        </w:rPr>
      </w:pPr>
    </w:p>
    <w:p w:rsidR="00C13F2E" w:rsidRDefault="00C13F2E">
      <w:pPr>
        <w:tabs>
          <w:tab w:val="center" w:pos="6979"/>
        </w:tabs>
        <w:spacing w:beforeLines="50" w:before="156" w:afterLines="50" w:after="156"/>
        <w:jc w:val="center"/>
        <w:rPr>
          <w:rFonts w:ascii="宋体" w:hAnsi="宋体" w:cs="宋体"/>
          <w:b/>
          <w:bCs/>
          <w:spacing w:val="40"/>
          <w:kern w:val="0"/>
          <w:sz w:val="32"/>
          <w:szCs w:val="32"/>
        </w:rPr>
      </w:pPr>
    </w:p>
    <w:p w:rsidR="00C13F2E" w:rsidRDefault="00C13F2E">
      <w:pPr>
        <w:tabs>
          <w:tab w:val="center" w:pos="6979"/>
        </w:tabs>
        <w:spacing w:beforeLines="50" w:before="156" w:afterLines="50" w:after="156"/>
        <w:jc w:val="center"/>
        <w:rPr>
          <w:rFonts w:ascii="宋体" w:hAnsi="宋体" w:cs="宋体"/>
          <w:b/>
          <w:bCs/>
          <w:spacing w:val="40"/>
          <w:kern w:val="0"/>
          <w:sz w:val="32"/>
          <w:szCs w:val="32"/>
        </w:rPr>
      </w:pPr>
    </w:p>
    <w:p w:rsidR="00C13F2E" w:rsidRDefault="009014BE">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2023年度决算报表</w:t>
      </w:r>
    </w:p>
    <w:p w:rsidR="00C13F2E" w:rsidRDefault="009014BE">
      <w:pPr>
        <w:pStyle w:val="2"/>
        <w:rPr>
          <w:b w:val="0"/>
          <w:bCs w:val="0"/>
        </w:rPr>
        <w:sectPr w:rsidR="00C13F2E">
          <w:footerReference w:type="default" r:id="rId8"/>
          <w:pgSz w:w="16838" w:h="11906" w:orient="landscape"/>
          <w:pgMar w:top="1134" w:right="1134" w:bottom="1134" w:left="1134" w:header="851" w:footer="992" w:gutter="0"/>
          <w:pgNumType w:start="1"/>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C13F2E" w:rsidRDefault="009014BE">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2023年度决算说明</w:t>
      </w:r>
    </w:p>
    <w:p w:rsidR="00C13F2E" w:rsidRDefault="009014BE" w:rsidP="00BA1885">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C13F2E" w:rsidRDefault="009014BE">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（一）机构</w:t>
      </w:r>
      <w:r>
        <w:rPr>
          <w:rFonts w:ascii="仿宋_GB2312" w:eastAsia="仿宋_GB2312"/>
          <w:sz w:val="28"/>
          <w:szCs w:val="28"/>
        </w:rPr>
        <w:t>设置、</w:t>
      </w:r>
      <w:r>
        <w:rPr>
          <w:rFonts w:ascii="仿宋_GB2312" w:eastAsia="仿宋_GB2312" w:hint="eastAsia"/>
          <w:sz w:val="28"/>
          <w:szCs w:val="28"/>
        </w:rPr>
        <w:t>职责</w:t>
      </w:r>
    </w:p>
    <w:p w:rsidR="00C13F2E" w:rsidRDefault="009014BE">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中国共产党早期北京革命活动纪念馆成立于2021年3月，为中共北京市委宣传部所属公益一类事业单位，主要职责是：承担以北大红楼为首的中国共产党早期北京革命活动旧址的保护、传承和利用工作。中国共产党早期</w:t>
      </w:r>
      <w:proofErr w:type="gramStart"/>
      <w:r>
        <w:rPr>
          <w:rFonts w:ascii="仿宋_GB2312" w:eastAsia="仿宋_GB2312" w:hint="eastAsia"/>
          <w:kern w:val="0"/>
          <w:sz w:val="28"/>
          <w:szCs w:val="28"/>
        </w:rPr>
        <w:t>北京革命活动纪念馆岗共8个</w:t>
      </w:r>
      <w:proofErr w:type="gramEnd"/>
      <w:r>
        <w:rPr>
          <w:rFonts w:ascii="仿宋_GB2312" w:eastAsia="仿宋_GB2312" w:hint="eastAsia"/>
          <w:kern w:val="0"/>
          <w:sz w:val="28"/>
          <w:szCs w:val="28"/>
        </w:rPr>
        <w:t>内设机构，分别是：办公室、编研陈列部、社会教育部、文保部、信息资料部、安全保卫部、财务管理部、蒙藏学校旧址管理办公室。无下属单位。</w:t>
      </w:r>
    </w:p>
    <w:p w:rsidR="00C13F2E" w:rsidRDefault="009014BE">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（二）人员构成情况</w:t>
      </w:r>
    </w:p>
    <w:p w:rsidR="00C13F2E" w:rsidRDefault="009014BE">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中国共产党早期北京革命活动纪念馆事业编制66人，实有人数46人。</w:t>
      </w:r>
    </w:p>
    <w:p w:rsidR="00C13F2E" w:rsidRDefault="009014BE">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C13F2E" w:rsidRDefault="009014B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6255.22</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1951.76万元，增长45.35%。</w:t>
      </w:r>
    </w:p>
    <w:p w:rsidR="00C13F2E" w:rsidRDefault="009014B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C13F2E" w:rsidRDefault="009014B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2023年度本年收入合计</w:t>
      </w:r>
      <w:r>
        <w:rPr>
          <w:rFonts w:ascii="仿宋_GB2312" w:eastAsia="仿宋_GB2312"/>
          <w:sz w:val="28"/>
          <w:szCs w:val="28"/>
        </w:rPr>
        <w:t>5896.58</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1917.97万元，增长48.21%。</w:t>
      </w:r>
    </w:p>
    <w:p w:rsidR="00C13F2E" w:rsidRDefault="009014BE">
      <w:pPr>
        <w:tabs>
          <w:tab w:val="center" w:pos="6979"/>
        </w:tabs>
        <w:spacing w:line="580" w:lineRule="exact"/>
        <w:ind w:firstLineChars="200" w:firstLine="560"/>
      </w:pPr>
      <w:r>
        <w:rPr>
          <w:rFonts w:ascii="仿宋_GB2312" w:eastAsia="仿宋_GB2312" w:hint="eastAsia"/>
          <w:sz w:val="28"/>
          <w:szCs w:val="28"/>
        </w:rPr>
        <w:t>1.财政拨款收入</w:t>
      </w:r>
      <w:r>
        <w:rPr>
          <w:rFonts w:ascii="仿宋_GB2312" w:eastAsia="仿宋_GB2312"/>
          <w:sz w:val="28"/>
          <w:szCs w:val="28"/>
        </w:rPr>
        <w:t>5825.58</w:t>
      </w:r>
      <w:r>
        <w:rPr>
          <w:rFonts w:ascii="仿宋_GB2312" w:eastAsia="仿宋_GB2312" w:hint="eastAsia"/>
          <w:sz w:val="28"/>
          <w:szCs w:val="28"/>
        </w:rPr>
        <w:t>万元，占收入合计的</w:t>
      </w:r>
      <w:r>
        <w:rPr>
          <w:rFonts w:ascii="仿宋_GB2312" w:eastAsia="仿宋_GB2312"/>
          <w:sz w:val="28"/>
          <w:szCs w:val="28"/>
        </w:rPr>
        <w:t>98.79</w:t>
      </w:r>
      <w:r>
        <w:rPr>
          <w:rFonts w:ascii="仿宋_GB2312" w:eastAsia="仿宋_GB2312" w:hint="eastAsia"/>
          <w:sz w:val="28"/>
          <w:szCs w:val="28"/>
        </w:rPr>
        <w:t>%。其中：一般公共预算财政拨款收入</w:t>
      </w:r>
      <w:r>
        <w:rPr>
          <w:rFonts w:ascii="仿宋_GB2312" w:eastAsia="仿宋_GB2312"/>
          <w:sz w:val="28"/>
          <w:szCs w:val="28"/>
        </w:rPr>
        <w:t>5825.58</w:t>
      </w:r>
      <w:r>
        <w:rPr>
          <w:rFonts w:ascii="仿宋_GB2312" w:eastAsia="仿宋_GB2312" w:hint="eastAsia"/>
          <w:sz w:val="28"/>
          <w:szCs w:val="28"/>
        </w:rPr>
        <w:t>万元，占收入合计的</w:t>
      </w:r>
      <w:r>
        <w:rPr>
          <w:rFonts w:ascii="仿宋_GB2312" w:eastAsia="仿宋_GB2312"/>
          <w:sz w:val="28"/>
          <w:szCs w:val="28"/>
        </w:rPr>
        <w:t>98.79</w:t>
      </w:r>
      <w:r>
        <w:rPr>
          <w:rFonts w:ascii="仿宋_GB2312" w:eastAsia="仿宋_GB2312" w:hint="eastAsia"/>
          <w:sz w:val="28"/>
          <w:szCs w:val="28"/>
        </w:rPr>
        <w:t>%；政府性基金预算财政拨款收入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%；国有资本经营预算财政拨款收入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0</w:t>
      </w:r>
      <w:r>
        <w:rPr>
          <w:rFonts w:ascii="仿宋_GB2312" w:eastAsia="仿宋_GB2312" w:hint="eastAsia"/>
          <w:sz w:val="28"/>
          <w:szCs w:val="28"/>
        </w:rPr>
        <w:t>%；</w:t>
      </w:r>
    </w:p>
    <w:p w:rsidR="00C13F2E" w:rsidRDefault="009014B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2.上级补助收入</w:t>
      </w:r>
      <w:r>
        <w:rPr>
          <w:rFonts w:ascii="仿宋_GB2312" w:eastAsia="仿宋_GB2312"/>
          <w:sz w:val="28"/>
          <w:szCs w:val="28"/>
        </w:rPr>
        <w:t>0</w:t>
      </w:r>
      <w:r>
        <w:rPr>
          <w:rFonts w:ascii="仿宋_GB2312" w:eastAsia="仿宋_GB2312" w:hint="eastAsia"/>
          <w:sz w:val="28"/>
          <w:szCs w:val="28"/>
        </w:rPr>
        <w:t>万元，占收入合计的0%；</w:t>
      </w:r>
    </w:p>
    <w:p w:rsidR="00C13F2E" w:rsidRDefault="009014B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0</w:t>
      </w:r>
      <w:r>
        <w:rPr>
          <w:rFonts w:ascii="仿宋_GB2312" w:eastAsia="仿宋_GB2312" w:hint="eastAsia"/>
          <w:sz w:val="28"/>
          <w:szCs w:val="28"/>
        </w:rPr>
        <w:t>万元，占收入合计的0%；</w:t>
      </w:r>
    </w:p>
    <w:p w:rsidR="00C13F2E" w:rsidRDefault="009014B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C13F2E" w:rsidRDefault="009014B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C13F2E" w:rsidRDefault="009014B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71</w:t>
      </w:r>
      <w:r>
        <w:rPr>
          <w:rFonts w:ascii="仿宋_GB2312" w:eastAsia="仿宋_GB2312" w:hint="eastAsia"/>
          <w:sz w:val="28"/>
          <w:szCs w:val="28"/>
        </w:rPr>
        <w:t>万元，占收入合计的</w:t>
      </w:r>
      <w:r>
        <w:rPr>
          <w:rFonts w:ascii="仿宋_GB2312" w:eastAsia="仿宋_GB2312"/>
          <w:sz w:val="28"/>
          <w:szCs w:val="28"/>
        </w:rPr>
        <w:t>1.2</w:t>
      </w:r>
      <w:r>
        <w:rPr>
          <w:rFonts w:ascii="仿宋_GB2312" w:eastAsia="仿宋_GB2312" w:hint="eastAsia"/>
          <w:sz w:val="28"/>
          <w:szCs w:val="28"/>
        </w:rPr>
        <w:t>1%。</w:t>
      </w:r>
    </w:p>
    <w:p w:rsidR="00C13F2E" w:rsidRDefault="009014BE">
      <w:pPr>
        <w:pStyle w:val="2"/>
        <w:jc w:val="center"/>
      </w:pPr>
      <w:r>
        <w:rPr>
          <w:rFonts w:ascii="仿宋_GB2312" w:eastAsia="仿宋_GB2312" w:hint="eastAsia"/>
          <w:color w:val="000000"/>
          <w:sz w:val="32"/>
        </w:rPr>
        <w:t>图1：收入决算</w:t>
      </w:r>
    </w:p>
    <w:p w:rsidR="00C13F2E" w:rsidRDefault="009014BE">
      <w:pPr>
        <w:pStyle w:val="a0"/>
        <w:ind w:firstLine="420"/>
        <w:jc w:val="center"/>
      </w:pPr>
      <w:r>
        <w:rPr>
          <w:noProof/>
        </w:rPr>
        <w:drawing>
          <wp:inline distT="0" distB="0" distL="114300" distR="114300">
            <wp:extent cx="4572000" cy="2743200"/>
            <wp:effectExtent l="4445" t="4445" r="1460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13F2E" w:rsidRDefault="009014B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C13F2E" w:rsidRDefault="009014B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2023年度本年支出合计</w:t>
      </w:r>
      <w:r>
        <w:rPr>
          <w:rFonts w:ascii="仿宋_GB2312" w:eastAsia="仿宋_GB2312"/>
          <w:sz w:val="28"/>
          <w:szCs w:val="28"/>
        </w:rPr>
        <w:t>5514.28</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2168.97万元，增长64.84%，其中：基本支出</w:t>
      </w:r>
      <w:r>
        <w:rPr>
          <w:rFonts w:ascii="仿宋_GB2312" w:eastAsia="仿宋_GB2312"/>
          <w:sz w:val="28"/>
          <w:szCs w:val="28"/>
        </w:rPr>
        <w:t>2428.64</w:t>
      </w:r>
      <w:r>
        <w:rPr>
          <w:rFonts w:ascii="仿宋_GB2312" w:eastAsia="仿宋_GB2312" w:hint="eastAsia"/>
          <w:sz w:val="28"/>
          <w:szCs w:val="28"/>
        </w:rPr>
        <w:t>万元，占支出合计的</w:t>
      </w:r>
      <w:r>
        <w:rPr>
          <w:rFonts w:ascii="仿宋_GB2312" w:eastAsia="仿宋_GB2312"/>
          <w:sz w:val="28"/>
          <w:szCs w:val="28"/>
        </w:rPr>
        <w:t>44.04</w:t>
      </w:r>
      <w:r>
        <w:rPr>
          <w:rFonts w:ascii="仿宋_GB2312" w:eastAsia="仿宋_GB2312" w:hint="eastAsia"/>
          <w:sz w:val="28"/>
          <w:szCs w:val="28"/>
        </w:rPr>
        <w:t>%；项目支出</w:t>
      </w:r>
      <w:r>
        <w:rPr>
          <w:rFonts w:ascii="仿宋_GB2312" w:eastAsia="仿宋_GB2312"/>
          <w:sz w:val="28"/>
          <w:szCs w:val="28"/>
        </w:rPr>
        <w:t>3085.6</w:t>
      </w:r>
      <w:r>
        <w:rPr>
          <w:rFonts w:ascii="仿宋_GB2312" w:eastAsia="仿宋_GB2312" w:hint="eastAsia"/>
          <w:sz w:val="28"/>
          <w:szCs w:val="28"/>
        </w:rPr>
        <w:t>4万元，占支出合计的</w:t>
      </w:r>
      <w:r>
        <w:rPr>
          <w:rFonts w:ascii="仿宋_GB2312" w:eastAsia="仿宋_GB2312"/>
          <w:sz w:val="28"/>
          <w:szCs w:val="28"/>
        </w:rPr>
        <w:t>55.9</w:t>
      </w:r>
      <w:r>
        <w:rPr>
          <w:rFonts w:ascii="仿宋_GB2312" w:eastAsia="仿宋_GB2312" w:hint="eastAsia"/>
          <w:sz w:val="28"/>
          <w:szCs w:val="28"/>
        </w:rPr>
        <w:t>6%;上缴上级支出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%；经营支出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%；对附属单位补助支出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0</w:t>
      </w:r>
      <w:r>
        <w:rPr>
          <w:rFonts w:ascii="仿宋_GB2312" w:eastAsia="仿宋_GB2312" w:hint="eastAsia"/>
          <w:sz w:val="28"/>
          <w:szCs w:val="28"/>
        </w:rPr>
        <w:t>%。</w:t>
      </w:r>
    </w:p>
    <w:p w:rsidR="00C13F2E" w:rsidRDefault="009014BE">
      <w:pPr>
        <w:pStyle w:val="2"/>
        <w:ind w:firstLine="642"/>
        <w:jc w:val="center"/>
        <w:rPr>
          <w:rFonts w:ascii="仿宋_GB2312" w:eastAsia="仿宋_GB2312"/>
          <w:color w:val="000000"/>
          <w:sz w:val="32"/>
        </w:rPr>
      </w:pPr>
      <w:r>
        <w:rPr>
          <w:rFonts w:ascii="仿宋_GB2312" w:eastAsia="仿宋_GB2312" w:hint="eastAsia"/>
          <w:color w:val="000000"/>
          <w:sz w:val="32"/>
        </w:rPr>
        <w:t>图2：基本支出和项目支出情况</w:t>
      </w:r>
    </w:p>
    <w:p w:rsidR="00C13F2E" w:rsidRDefault="009014BE">
      <w:pPr>
        <w:jc w:val="center"/>
        <w:rPr>
          <w:rFonts w:ascii="黑体" w:eastAsia="黑体"/>
          <w:b/>
          <w:sz w:val="28"/>
          <w:szCs w:val="28"/>
        </w:rPr>
      </w:pPr>
      <w:r>
        <w:rPr>
          <w:noProof/>
        </w:rP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13F2E" w:rsidRDefault="009014BE" w:rsidP="00BA1885">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C13F2E" w:rsidRDefault="009014BE">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5980.66</w:t>
      </w:r>
      <w:r>
        <w:rPr>
          <w:rFonts w:ascii="仿宋_GB2312" w:eastAsia="仿宋_GB2312" w:hint="eastAsia"/>
          <w:sz w:val="28"/>
          <w:szCs w:val="28"/>
        </w:rPr>
        <w:t>万元，比上年</w:t>
      </w:r>
      <w:r>
        <w:rPr>
          <w:rFonts w:ascii="仿宋_GB2312" w:eastAsia="仿宋_GB2312"/>
          <w:sz w:val="28"/>
          <w:szCs w:val="28"/>
        </w:rPr>
        <w:t>增加</w:t>
      </w:r>
      <w:r>
        <w:rPr>
          <w:rFonts w:ascii="仿宋_GB2312" w:eastAsia="仿宋_GB2312" w:hint="eastAsia"/>
          <w:sz w:val="28"/>
          <w:szCs w:val="28"/>
        </w:rPr>
        <w:t>2131.12万元，增长55.36%。主要原因：蒙藏学校旧址馆区于2023年3月对外开放，年内增加馆区开办费。</w:t>
      </w:r>
    </w:p>
    <w:p w:rsidR="00C13F2E" w:rsidRDefault="009014BE" w:rsidP="00BA1885">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lastRenderedPageBreak/>
        <w:t>四、一般公共预算财政拨款支出决算情况说明</w:t>
      </w:r>
    </w:p>
    <w:p w:rsidR="00C13F2E" w:rsidRDefault="009014B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C13F2E" w:rsidRDefault="009014BE">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2023年度一般公共预算财政拨款支出</w:t>
      </w:r>
      <w:r>
        <w:rPr>
          <w:rFonts w:ascii="仿宋_GB2312" w:eastAsia="仿宋_GB2312"/>
          <w:sz w:val="28"/>
          <w:szCs w:val="28"/>
        </w:rPr>
        <w:t>5363.73</w:t>
      </w:r>
      <w:r>
        <w:rPr>
          <w:rFonts w:ascii="仿宋_GB2312" w:eastAsia="仿宋_GB2312" w:hint="eastAsia"/>
          <w:sz w:val="28"/>
          <w:szCs w:val="28"/>
        </w:rPr>
        <w:t>万元，主要用于以下方面（按大类）：文化旅游体育与传媒支出</w:t>
      </w:r>
      <w:r>
        <w:rPr>
          <w:rFonts w:ascii="仿宋_GB2312" w:eastAsia="仿宋_GB2312"/>
          <w:sz w:val="28"/>
          <w:szCs w:val="28"/>
        </w:rPr>
        <w:t>5363.73</w:t>
      </w:r>
      <w:r>
        <w:rPr>
          <w:rFonts w:ascii="仿宋_GB2312" w:eastAsia="仿宋_GB2312" w:hint="eastAsia"/>
          <w:sz w:val="28"/>
          <w:szCs w:val="28"/>
        </w:rPr>
        <w:t>万元，占本年财政拨款支出100%。</w:t>
      </w:r>
    </w:p>
    <w:p w:rsidR="00C13F2E" w:rsidRDefault="009014B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C13F2E" w:rsidRDefault="009014B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“文化旅游体育与传媒支出”（类）2023年度决算</w:t>
      </w:r>
      <w:r>
        <w:rPr>
          <w:rFonts w:ascii="仿宋_GB2312" w:eastAsia="仿宋_GB2312"/>
          <w:sz w:val="28"/>
          <w:szCs w:val="28"/>
        </w:rPr>
        <w:t>5363.73</w:t>
      </w:r>
      <w:r>
        <w:rPr>
          <w:rFonts w:ascii="仿宋_GB2312" w:eastAsia="仿宋_GB2312" w:hint="eastAsia"/>
          <w:sz w:val="28"/>
          <w:szCs w:val="28"/>
        </w:rPr>
        <w:t>万元，比2023年度年初预算增加1408.72万元，增长35.62%。其中：</w:t>
      </w:r>
    </w:p>
    <w:p w:rsidR="00C13F2E" w:rsidRDefault="009014BE">
      <w:pPr>
        <w:spacing w:line="580" w:lineRule="exact"/>
        <w:ind w:firstLineChars="200" w:firstLine="560"/>
        <w:rPr>
          <w:rFonts w:ascii="仿宋_GB2312" w:eastAsia="仿宋_GB2312"/>
          <w:sz w:val="28"/>
          <w:szCs w:val="28"/>
        </w:rPr>
      </w:pPr>
      <w:r>
        <w:rPr>
          <w:rFonts w:ascii="仿宋_GB2312" w:eastAsia="仿宋_GB2312" w:hint="eastAsia"/>
          <w:sz w:val="28"/>
          <w:szCs w:val="28"/>
        </w:rPr>
        <w:t>“文物”（款）2023年度决算5326.40万元，比2023年度年初预算增加1408.72万元，增长35.96%。主要原因：蒙藏学校旧址馆区于2023年3月对外开放，年内增加馆区开办费。</w:t>
      </w:r>
    </w:p>
    <w:p w:rsidR="00C13F2E" w:rsidRDefault="009014BE">
      <w:pPr>
        <w:spacing w:line="580" w:lineRule="exact"/>
        <w:ind w:firstLineChars="200" w:firstLine="560"/>
        <w:rPr>
          <w:rFonts w:ascii="仿宋_GB2312" w:eastAsia="仿宋_GB2312"/>
          <w:sz w:val="28"/>
          <w:szCs w:val="28"/>
        </w:rPr>
      </w:pPr>
      <w:r>
        <w:rPr>
          <w:rFonts w:ascii="仿宋_GB2312" w:eastAsia="仿宋_GB2312" w:hint="eastAsia"/>
          <w:sz w:val="28"/>
          <w:szCs w:val="28"/>
        </w:rPr>
        <w:t>“文化和旅游”（款）2023年度决算37.34万元，与2023年度年初预算持平。</w:t>
      </w:r>
    </w:p>
    <w:p w:rsidR="00C13F2E" w:rsidRDefault="009014BE" w:rsidP="00BA1885">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C13F2E" w:rsidRDefault="009014BE">
      <w:pPr>
        <w:spacing w:line="580" w:lineRule="exact"/>
        <w:ind w:firstLineChars="200" w:firstLine="560"/>
        <w:rPr>
          <w:rFonts w:ascii="仿宋_GB2312" w:eastAsia="仿宋_GB2312"/>
          <w:sz w:val="28"/>
          <w:szCs w:val="28"/>
        </w:rPr>
      </w:pPr>
      <w:r>
        <w:rPr>
          <w:rFonts w:ascii="仿宋_GB2312" w:eastAsia="仿宋_GB2312" w:hint="eastAsia"/>
          <w:sz w:val="28"/>
          <w:szCs w:val="28"/>
        </w:rPr>
        <w:t>本单位无此项支出。</w:t>
      </w:r>
    </w:p>
    <w:p w:rsidR="00C13F2E" w:rsidRDefault="009014BE" w:rsidP="00BA1885">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C13F2E" w:rsidRDefault="009014BE">
      <w:pPr>
        <w:spacing w:line="580" w:lineRule="exact"/>
        <w:ind w:firstLineChars="200" w:firstLine="560"/>
        <w:rPr>
          <w:rFonts w:ascii="仿宋_GB2312" w:eastAsia="仿宋_GB2312"/>
          <w:sz w:val="28"/>
          <w:szCs w:val="28"/>
        </w:rPr>
      </w:pPr>
      <w:r>
        <w:rPr>
          <w:rFonts w:ascii="仿宋_GB2312" w:eastAsia="仿宋_GB2312" w:hint="eastAsia"/>
          <w:sz w:val="28"/>
          <w:szCs w:val="28"/>
        </w:rPr>
        <w:t>本单位无此项支出。</w:t>
      </w:r>
    </w:p>
    <w:p w:rsidR="00C13F2E" w:rsidRDefault="009014BE" w:rsidP="00BA1885">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C13F2E" w:rsidRDefault="009014BE" w:rsidP="00BA1885">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2023年度使用一般公共预算财政拨款安排基本支出</w:t>
      </w:r>
      <w:r>
        <w:rPr>
          <w:rFonts w:ascii="仿宋_GB2312" w:eastAsia="仿宋_GB2312"/>
          <w:sz w:val="28"/>
          <w:szCs w:val="28"/>
        </w:rPr>
        <w:t>2428.64</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w:t>
      </w:r>
      <w:r>
        <w:rPr>
          <w:rFonts w:ascii="仿宋_GB2312" w:eastAsia="仿宋_GB2312" w:hint="eastAsia"/>
          <w:sz w:val="28"/>
          <w:szCs w:val="28"/>
        </w:rPr>
        <w:lastRenderedPageBreak/>
        <w:t>其中：</w:t>
      </w:r>
      <w:r w:rsidR="00DC7931" w:rsidRPr="00DC7931">
        <w:rPr>
          <w:rFonts w:ascii="仿宋_GB2312" w:eastAsia="仿宋_GB2312" w:hint="eastAsia"/>
          <w:sz w:val="28"/>
          <w:szCs w:val="28"/>
        </w:rPr>
        <w:t>（1）工资福利支出包括基本工资、津贴补贴、奖金、伙食补助费、绩效工资、其他社会保障缴费、其他工资福利等支出；（2）商品和服务支出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等支出；（3）对个人和家庭补助支出包括离休费、退休费、抚恤金、生活补助、救济费、医疗费补助、助学金、奖励金、其他对个人和家庭的补助等支出。（4）其他资本性支出包括办公设备购置、专用设备购置等。</w:t>
      </w:r>
    </w:p>
    <w:p w:rsidR="00C13F2E" w:rsidRDefault="009014BE">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2023年度</w:t>
      </w:r>
      <w:r>
        <w:rPr>
          <w:rFonts w:ascii="宋体" w:hAnsi="宋体" w:cs="宋体" w:hint="eastAsia"/>
          <w:b/>
          <w:spacing w:val="40"/>
          <w:kern w:val="0"/>
          <w:sz w:val="32"/>
          <w:szCs w:val="32"/>
        </w:rPr>
        <w:t>其他重要事项的情况说明</w:t>
      </w:r>
    </w:p>
    <w:p w:rsidR="00C13F2E" w:rsidRDefault="009014BE">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C13F2E" w:rsidRDefault="009014BE">
      <w:pPr>
        <w:spacing w:line="560" w:lineRule="exact"/>
        <w:ind w:firstLine="600"/>
        <w:rPr>
          <w:rFonts w:ascii="仿宋_GB2312" w:eastAsia="仿宋_GB2312"/>
          <w:sz w:val="28"/>
          <w:szCs w:val="28"/>
        </w:rPr>
      </w:pPr>
      <w:r>
        <w:rPr>
          <w:rFonts w:ascii="仿宋_GB2312" w:eastAsia="仿宋_GB2312" w:hint="eastAsia"/>
          <w:sz w:val="28"/>
          <w:szCs w:val="28"/>
        </w:rPr>
        <w:t>“三公”经费包括本单位</w:t>
      </w:r>
      <w:r>
        <w:rPr>
          <w:rFonts w:ascii="仿宋_GB2312" w:eastAsia="仿宋_GB2312" w:hint="eastAsia"/>
          <w:bCs/>
          <w:sz w:val="28"/>
          <w:szCs w:val="28"/>
        </w:rPr>
        <w:t>1个</w:t>
      </w:r>
      <w:r>
        <w:rPr>
          <w:rFonts w:ascii="仿宋_GB2312" w:eastAsia="仿宋_GB2312" w:hint="eastAsia"/>
          <w:sz w:val="28"/>
          <w:szCs w:val="28"/>
        </w:rPr>
        <w:t>事业单位。2023年度“三公”经费财政拨款决算数</w:t>
      </w:r>
      <w:r>
        <w:rPr>
          <w:rFonts w:ascii="仿宋_GB2312" w:eastAsia="仿宋_GB2312"/>
          <w:sz w:val="28"/>
          <w:szCs w:val="28"/>
        </w:rPr>
        <w:t>0</w:t>
      </w:r>
      <w:r>
        <w:rPr>
          <w:rFonts w:ascii="仿宋_GB2312" w:eastAsia="仿宋_GB2312" w:hint="eastAsia"/>
          <w:sz w:val="28"/>
          <w:szCs w:val="28"/>
        </w:rPr>
        <w:t>万元，比2023年度“三公”经费财政拨款年初预算</w:t>
      </w:r>
      <w:r>
        <w:rPr>
          <w:rFonts w:ascii="仿宋_GB2312" w:eastAsia="仿宋_GB2312"/>
          <w:sz w:val="28"/>
          <w:szCs w:val="28"/>
        </w:rPr>
        <w:t>2</w:t>
      </w:r>
      <w:r>
        <w:rPr>
          <w:rFonts w:ascii="仿宋_GB2312" w:eastAsia="仿宋_GB2312" w:hint="eastAsia"/>
          <w:sz w:val="28"/>
          <w:szCs w:val="28"/>
        </w:rPr>
        <w:t>万元减少</w:t>
      </w:r>
      <w:r>
        <w:rPr>
          <w:rFonts w:ascii="仿宋_GB2312" w:eastAsia="仿宋_GB2312"/>
          <w:sz w:val="28"/>
          <w:szCs w:val="28"/>
        </w:rPr>
        <w:t>2</w:t>
      </w:r>
      <w:r>
        <w:rPr>
          <w:rFonts w:ascii="仿宋_GB2312" w:eastAsia="仿宋_GB2312" w:hint="eastAsia"/>
          <w:sz w:val="28"/>
          <w:szCs w:val="28"/>
        </w:rPr>
        <w:t>万元。其中：</w:t>
      </w:r>
    </w:p>
    <w:p w:rsidR="00C13F2E" w:rsidRDefault="009014BE">
      <w:pPr>
        <w:spacing w:line="560" w:lineRule="exact"/>
        <w:ind w:firstLine="600"/>
        <w:rPr>
          <w:rFonts w:ascii="仿宋_GB2312" w:eastAsia="仿宋_GB2312"/>
          <w:sz w:val="28"/>
          <w:szCs w:val="28"/>
        </w:rPr>
      </w:pPr>
      <w:r>
        <w:rPr>
          <w:rFonts w:ascii="仿宋_GB2312" w:eastAsia="仿宋_GB2312" w:hint="eastAsia"/>
          <w:sz w:val="28"/>
          <w:szCs w:val="28"/>
        </w:rPr>
        <w:t>1.因公出国（境）费用。2023年度决算数0万元，与2023年度年初预算数持平。</w:t>
      </w:r>
    </w:p>
    <w:p w:rsidR="00C13F2E" w:rsidRDefault="009014BE">
      <w:pPr>
        <w:spacing w:line="560" w:lineRule="exact"/>
        <w:ind w:firstLine="600"/>
        <w:rPr>
          <w:rFonts w:ascii="仿宋_GB2312" w:eastAsia="仿宋_GB2312"/>
          <w:sz w:val="28"/>
          <w:szCs w:val="28"/>
        </w:rPr>
      </w:pPr>
      <w:r>
        <w:rPr>
          <w:rFonts w:ascii="仿宋_GB2312" w:eastAsia="仿宋_GB2312" w:hint="eastAsia"/>
          <w:sz w:val="28"/>
          <w:szCs w:val="28"/>
        </w:rPr>
        <w:t>2.公务接待费。2023年度决算数0万元，比2023年度年初预算数2万元减少2万元，主要原因：认真落实中央和市委有关规定，厉行勤俭节约，进一步压缩公务接待费支出。</w:t>
      </w:r>
    </w:p>
    <w:p w:rsidR="00C13F2E" w:rsidRDefault="009014BE">
      <w:pPr>
        <w:spacing w:line="560" w:lineRule="exact"/>
        <w:ind w:firstLine="600"/>
        <w:rPr>
          <w:rFonts w:ascii="仿宋_GB2312" w:eastAsia="仿宋_GB2312"/>
          <w:sz w:val="28"/>
          <w:szCs w:val="28"/>
        </w:rPr>
      </w:pPr>
      <w:r>
        <w:rPr>
          <w:rFonts w:ascii="仿宋_GB2312" w:eastAsia="仿宋_GB2312" w:hint="eastAsia"/>
          <w:sz w:val="28"/>
          <w:szCs w:val="28"/>
        </w:rPr>
        <w:t>3.公务用车购置及运行维护费。2023年度决算数0万元，与2023年度年初预算数持平。</w:t>
      </w:r>
    </w:p>
    <w:p w:rsidR="00C13F2E" w:rsidRDefault="009014BE">
      <w:pPr>
        <w:spacing w:line="560" w:lineRule="exact"/>
        <w:ind w:firstLine="600"/>
        <w:rPr>
          <w:rFonts w:ascii="仿宋_GB2312" w:eastAsia="仿宋_GB2312"/>
          <w:sz w:val="28"/>
          <w:szCs w:val="28"/>
        </w:rPr>
      </w:pPr>
      <w:r>
        <w:rPr>
          <w:rFonts w:ascii="仿宋_GB2312" w:eastAsia="仿宋_GB2312" w:hint="eastAsia"/>
          <w:sz w:val="28"/>
          <w:szCs w:val="28"/>
        </w:rPr>
        <w:t>其中，公务用车购置费2023年度决算数0万元，与2023年度年初预算数持平。公务用车运行维护费2023年度决算数0万元，与2023年度年初预算数持平。2023年度公务用车运行维护费中，公务用车加油0万元，公务用车维修0万元，公务用车保险0万元，公务用车其他支出0万元。2023年度公务用车保有量0辆，车均运行维护费0万元。</w:t>
      </w:r>
    </w:p>
    <w:p w:rsidR="00C13F2E" w:rsidRDefault="009014BE">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C13F2E" w:rsidRDefault="009014BE" w:rsidP="00BA1885">
      <w:pPr>
        <w:ind w:firstLineChars="192" w:firstLine="538"/>
        <w:rPr>
          <w:rFonts w:ascii="仿宋_GB2312" w:eastAsia="仿宋_GB2312"/>
          <w:sz w:val="28"/>
          <w:szCs w:val="28"/>
        </w:rPr>
      </w:pPr>
      <w:r>
        <w:rPr>
          <w:rFonts w:ascii="仿宋_GB2312" w:eastAsia="仿宋_GB2312" w:hint="eastAsia"/>
          <w:sz w:val="28"/>
          <w:szCs w:val="28"/>
        </w:rPr>
        <w:t>本单位不属于机关运行经费统计范围。</w:t>
      </w:r>
    </w:p>
    <w:p w:rsidR="00C13F2E" w:rsidRDefault="009014BE">
      <w:pPr>
        <w:ind w:left="540"/>
        <w:rPr>
          <w:rFonts w:ascii="黑体" w:eastAsia="黑体"/>
          <w:sz w:val="28"/>
          <w:szCs w:val="28"/>
        </w:rPr>
      </w:pPr>
      <w:r>
        <w:rPr>
          <w:rFonts w:ascii="黑体" w:eastAsia="黑体" w:hint="eastAsia"/>
          <w:sz w:val="28"/>
          <w:szCs w:val="28"/>
        </w:rPr>
        <w:t>三、政府采购支出情况</w:t>
      </w:r>
    </w:p>
    <w:p w:rsidR="00C13F2E" w:rsidRDefault="009014BE" w:rsidP="00BA1885">
      <w:pPr>
        <w:ind w:firstLineChars="192" w:firstLine="538"/>
        <w:rPr>
          <w:rFonts w:ascii="仿宋_GB2312" w:eastAsia="仿宋_GB2312"/>
          <w:sz w:val="28"/>
          <w:szCs w:val="28"/>
        </w:rPr>
      </w:pPr>
      <w:r>
        <w:rPr>
          <w:rFonts w:ascii="仿宋_GB2312" w:eastAsia="仿宋_GB2312" w:hint="eastAsia"/>
          <w:sz w:val="28"/>
          <w:szCs w:val="28"/>
        </w:rPr>
        <w:t>2023年度政府采购支出总额</w:t>
      </w:r>
      <w:r>
        <w:rPr>
          <w:rFonts w:ascii="仿宋_GB2312" w:eastAsia="仿宋_GB2312"/>
          <w:sz w:val="28"/>
          <w:szCs w:val="28"/>
        </w:rPr>
        <w:t>2131.59</w:t>
      </w:r>
      <w:r>
        <w:rPr>
          <w:rFonts w:ascii="仿宋_GB2312" w:eastAsia="仿宋_GB2312" w:hint="eastAsia"/>
          <w:sz w:val="28"/>
          <w:szCs w:val="28"/>
        </w:rPr>
        <w:t>万元，其中：政府采购货物支出</w:t>
      </w:r>
      <w:r>
        <w:rPr>
          <w:rFonts w:ascii="仿宋_GB2312" w:eastAsia="仿宋_GB2312"/>
          <w:sz w:val="28"/>
          <w:szCs w:val="28"/>
        </w:rPr>
        <w:t>171.18</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1960.4</w:t>
      </w:r>
      <w:r w:rsidR="00FE405C">
        <w:rPr>
          <w:rFonts w:ascii="仿宋_GB2312" w:eastAsia="仿宋_GB2312" w:hint="eastAsia"/>
          <w:sz w:val="28"/>
          <w:szCs w:val="28"/>
        </w:rPr>
        <w:t>1</w:t>
      </w:r>
      <w:r>
        <w:rPr>
          <w:rFonts w:ascii="仿宋_GB2312" w:eastAsia="仿宋_GB2312" w:hint="eastAsia"/>
          <w:sz w:val="28"/>
          <w:szCs w:val="28"/>
        </w:rPr>
        <w:t>万元。授予中小企业合同金额</w:t>
      </w:r>
      <w:r>
        <w:rPr>
          <w:rFonts w:ascii="仿宋_GB2312" w:eastAsia="仿宋_GB2312"/>
          <w:sz w:val="28"/>
          <w:szCs w:val="28"/>
        </w:rPr>
        <w:t>747.16</w:t>
      </w:r>
      <w:r>
        <w:rPr>
          <w:rFonts w:ascii="仿宋_GB2312" w:eastAsia="仿宋_GB2312" w:hint="eastAsia"/>
          <w:sz w:val="28"/>
          <w:szCs w:val="28"/>
        </w:rPr>
        <w:t>万元，占政府采购支出总额的</w:t>
      </w:r>
      <w:r>
        <w:rPr>
          <w:rFonts w:ascii="仿宋_GB2312" w:eastAsia="仿宋_GB2312"/>
          <w:sz w:val="28"/>
          <w:szCs w:val="28"/>
        </w:rPr>
        <w:t>35.05</w:t>
      </w:r>
      <w:r>
        <w:rPr>
          <w:rFonts w:ascii="仿宋_GB2312" w:eastAsia="仿宋_GB2312" w:hint="eastAsia"/>
          <w:sz w:val="28"/>
          <w:szCs w:val="28"/>
        </w:rPr>
        <w:t>%，其中：授予小</w:t>
      </w:r>
      <w:proofErr w:type="gramStart"/>
      <w:r>
        <w:rPr>
          <w:rFonts w:ascii="仿宋_GB2312" w:eastAsia="仿宋_GB2312" w:hint="eastAsia"/>
          <w:sz w:val="28"/>
          <w:szCs w:val="28"/>
        </w:rPr>
        <w:t>微</w:t>
      </w:r>
      <w:r>
        <w:rPr>
          <w:rFonts w:ascii="仿宋_GB2312" w:eastAsia="仿宋_GB2312" w:hint="eastAsia"/>
          <w:sz w:val="28"/>
          <w:szCs w:val="28"/>
        </w:rPr>
        <w:lastRenderedPageBreak/>
        <w:t>企业</w:t>
      </w:r>
      <w:proofErr w:type="gramEnd"/>
      <w:r>
        <w:rPr>
          <w:rFonts w:ascii="仿宋_GB2312" w:eastAsia="仿宋_GB2312" w:hint="eastAsia"/>
          <w:sz w:val="28"/>
          <w:szCs w:val="28"/>
        </w:rPr>
        <w:t>合同金额</w:t>
      </w:r>
      <w:r>
        <w:rPr>
          <w:rFonts w:ascii="仿宋_GB2312" w:eastAsia="仿宋_GB2312"/>
          <w:sz w:val="28"/>
          <w:szCs w:val="28"/>
        </w:rPr>
        <w:t>744.42</w:t>
      </w:r>
      <w:r>
        <w:rPr>
          <w:rFonts w:ascii="仿宋_GB2312" w:eastAsia="仿宋_GB2312" w:hint="eastAsia"/>
          <w:sz w:val="28"/>
          <w:szCs w:val="28"/>
        </w:rPr>
        <w:t>万元，占政府采购支出总额的</w:t>
      </w:r>
      <w:r>
        <w:rPr>
          <w:rFonts w:ascii="仿宋_GB2312" w:eastAsia="仿宋_GB2312"/>
          <w:sz w:val="28"/>
          <w:szCs w:val="28"/>
        </w:rPr>
        <w:t>34.92</w:t>
      </w:r>
      <w:r>
        <w:rPr>
          <w:rFonts w:ascii="仿宋_GB2312" w:eastAsia="仿宋_GB2312" w:hint="eastAsia"/>
          <w:sz w:val="28"/>
          <w:szCs w:val="28"/>
        </w:rPr>
        <w:t>%。</w:t>
      </w:r>
    </w:p>
    <w:p w:rsidR="00C13F2E" w:rsidRDefault="009014BE">
      <w:pPr>
        <w:ind w:firstLineChars="200" w:firstLine="560"/>
        <w:rPr>
          <w:rFonts w:ascii="黑体" w:eastAsia="黑体"/>
          <w:sz w:val="28"/>
          <w:szCs w:val="28"/>
          <w:highlight w:val="yellow"/>
        </w:rPr>
      </w:pPr>
      <w:r>
        <w:rPr>
          <w:rFonts w:ascii="黑体" w:eastAsia="黑体" w:hint="eastAsia"/>
          <w:sz w:val="28"/>
          <w:szCs w:val="28"/>
        </w:rPr>
        <w:t>四、国有资产占用情况</w:t>
      </w:r>
      <w:bookmarkStart w:id="0" w:name="_GoBack"/>
      <w:bookmarkEnd w:id="0"/>
    </w:p>
    <w:p w:rsidR="00C13F2E" w:rsidRDefault="009014BE">
      <w:pPr>
        <w:ind w:firstLineChars="200" w:firstLine="560"/>
        <w:rPr>
          <w:rFonts w:ascii="仿宋_GB2312" w:eastAsia="仿宋_GB2312"/>
          <w:sz w:val="32"/>
          <w:szCs w:val="32"/>
        </w:rPr>
      </w:pPr>
      <w:r>
        <w:rPr>
          <w:rFonts w:ascii="仿宋_GB2312" w:eastAsia="仿宋_GB2312" w:hint="eastAsia"/>
          <w:sz w:val="28"/>
          <w:szCs w:val="28"/>
        </w:rPr>
        <w:t>2023年度新购置车辆0台，共计0万元；新购置单位价值100万元（含）以上的设备0台（套），共计0万元。截至12月31日，本单位共有车辆0台，共计0万元；单位价值100万元（含）以上的设备0台（套），共计0万元。</w:t>
      </w:r>
    </w:p>
    <w:p w:rsidR="00C13F2E" w:rsidRDefault="009014BE" w:rsidP="00BA1885">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C13F2E" w:rsidRDefault="009014BE" w:rsidP="00BA1885">
      <w:pPr>
        <w:ind w:firstLineChars="192" w:firstLine="538"/>
        <w:rPr>
          <w:rFonts w:ascii="仿宋_GB2312" w:eastAsia="仿宋_GB2312"/>
          <w:sz w:val="28"/>
          <w:szCs w:val="28"/>
        </w:rPr>
      </w:pPr>
      <w:r>
        <w:rPr>
          <w:rFonts w:ascii="仿宋_GB2312" w:eastAsia="仿宋_GB2312" w:hint="eastAsia"/>
          <w:sz w:val="28"/>
          <w:szCs w:val="28"/>
        </w:rPr>
        <w:t>2023年度</w:t>
      </w:r>
      <w:r>
        <w:rPr>
          <w:rFonts w:ascii="仿宋_GB2312" w:eastAsia="仿宋_GB2312"/>
          <w:sz w:val="28"/>
          <w:szCs w:val="28"/>
        </w:rPr>
        <w:t>政府购买服务决算0</w:t>
      </w:r>
      <w:r>
        <w:rPr>
          <w:rFonts w:ascii="仿宋_GB2312" w:eastAsia="仿宋_GB2312" w:hint="eastAsia"/>
          <w:sz w:val="28"/>
          <w:szCs w:val="28"/>
        </w:rPr>
        <w:t>万元。</w:t>
      </w:r>
    </w:p>
    <w:p w:rsidR="00C13F2E" w:rsidRDefault="009014BE">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C13F2E" w:rsidRDefault="009014BE">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C13F2E" w:rsidRDefault="009014BE">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C13F2E" w:rsidRDefault="009014BE">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Pr>
          <w:rFonts w:ascii="仿宋_GB2312" w:eastAsia="仿宋_GB2312" w:hAnsi="宋体" w:hint="eastAsia"/>
          <w:sz w:val="28"/>
          <w:szCs w:val="28"/>
        </w:rPr>
        <w:t>含车辆</w:t>
      </w:r>
      <w:proofErr w:type="gramEnd"/>
      <w:r>
        <w:rPr>
          <w:rFonts w:ascii="仿宋_GB2312" w:eastAsia="仿宋_GB2312" w:hAnsi="宋体" w:hint="eastAsia"/>
          <w:sz w:val="28"/>
          <w:szCs w:val="28"/>
        </w:rPr>
        <w:t>购置税、牌照费）及单位按规定保留的公务用车燃料费、维修费、过路过桥费、保险费、安全奖励费等支出；公务接待费指单位按规定开支的各类公务接待（含外宾接待）支出。</w:t>
      </w:r>
    </w:p>
    <w:p w:rsidR="00C13F2E" w:rsidRDefault="009014BE">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w:t>
      </w:r>
      <w:r>
        <w:rPr>
          <w:rFonts w:ascii="仿宋_GB2312" w:eastAsia="仿宋_GB2312" w:hAnsi="宋体" w:hint="eastAsia"/>
          <w:sz w:val="28"/>
          <w:szCs w:val="28"/>
        </w:rPr>
        <w:lastRenderedPageBreak/>
        <w:t>用房取暖费、办公用房物业管理费、公务用车运行维护费以及其他费用。</w:t>
      </w:r>
    </w:p>
    <w:p w:rsidR="00C13F2E" w:rsidRDefault="009014BE">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C13F2E" w:rsidRDefault="009014BE">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C13F2E" w:rsidRDefault="009014BE">
      <w:pPr>
        <w:ind w:firstLineChars="150" w:firstLine="420"/>
        <w:rPr>
          <w:rFonts w:ascii="仿宋_GB2312" w:eastAsia="仿宋_GB2312"/>
          <w:sz w:val="28"/>
          <w:szCs w:val="28"/>
        </w:rPr>
      </w:pPr>
      <w:r>
        <w:rPr>
          <w:rFonts w:ascii="仿宋_GB2312" w:eastAsia="仿宋_GB2312" w:hint="eastAsia"/>
          <w:sz w:val="28"/>
          <w:szCs w:val="28"/>
        </w:rPr>
        <w:t>7.支出功能分类名词解释：</w:t>
      </w:r>
    </w:p>
    <w:p w:rsidR="00C13F2E" w:rsidRDefault="009014BE">
      <w:pPr>
        <w:ind w:firstLineChars="150" w:firstLine="420"/>
        <w:rPr>
          <w:rFonts w:ascii="仿宋_GB2312" w:eastAsia="仿宋_GB2312"/>
          <w:sz w:val="28"/>
          <w:szCs w:val="28"/>
        </w:rPr>
      </w:pPr>
      <w:r>
        <w:rPr>
          <w:rFonts w:ascii="仿宋_GB2312" w:eastAsia="仿宋_GB2312" w:hint="eastAsia"/>
          <w:sz w:val="28"/>
          <w:szCs w:val="28"/>
        </w:rPr>
        <w:t>文化旅游体育与传媒支出（类）文物（款）博物馆（项）：反映文物系统及其他部门所属博物馆、纪念馆（室）的支出。</w:t>
      </w:r>
    </w:p>
    <w:p w:rsidR="00C13F2E" w:rsidRDefault="009014BE">
      <w:pPr>
        <w:pStyle w:val="a0"/>
        <w:ind w:firstLine="560"/>
        <w:rPr>
          <w:rFonts w:eastAsia="仿宋_GB2312"/>
        </w:rPr>
      </w:pPr>
      <w:r>
        <w:rPr>
          <w:rFonts w:ascii="仿宋_GB2312" w:eastAsia="仿宋_GB2312" w:hint="eastAsia"/>
          <w:sz w:val="28"/>
          <w:szCs w:val="28"/>
        </w:rPr>
        <w:t>文化旅游体育与传媒支出（类）文化和旅游（款）：反映政府在文化、旅游、文物、体育、广播电视、电影、新闻出版等方面的支出。</w:t>
      </w:r>
    </w:p>
    <w:p w:rsidR="00C13F2E" w:rsidRDefault="009014BE">
      <w:pPr>
        <w:ind w:firstLineChars="150" w:firstLine="420"/>
        <w:rPr>
          <w:rFonts w:ascii="仿宋_GB2312" w:eastAsia="仿宋_GB2312"/>
          <w:sz w:val="28"/>
          <w:szCs w:val="28"/>
        </w:rPr>
      </w:pPr>
      <w:r>
        <w:rPr>
          <w:rFonts w:ascii="仿宋_GB2312" w:eastAsia="仿宋_GB2312" w:hint="eastAsia"/>
          <w:sz w:val="28"/>
          <w:szCs w:val="28"/>
        </w:rPr>
        <w:t>文化旅游体育与传媒支出（类）文化和旅游（款）其他文化和旅游支出（项）：反映除上述项目以外其他用于文化和旅游方面的支出。</w:t>
      </w:r>
    </w:p>
    <w:p w:rsidR="00C13F2E" w:rsidRDefault="00C13F2E">
      <w:pPr>
        <w:rPr>
          <w:rFonts w:ascii="仿宋_GB2312" w:eastAsia="仿宋_GB2312"/>
          <w:sz w:val="28"/>
          <w:szCs w:val="28"/>
        </w:rPr>
      </w:pPr>
    </w:p>
    <w:p w:rsidR="00C13F2E" w:rsidRDefault="00C13F2E" w:rsidP="00BA1885">
      <w:pPr>
        <w:ind w:firstLineChars="200" w:firstLine="634"/>
        <w:rPr>
          <w:rFonts w:ascii="仿宋_GB2312" w:eastAsia="仿宋_GB2312"/>
          <w:b/>
          <w:color w:val="000000"/>
          <w:spacing w:val="-2"/>
          <w:sz w:val="32"/>
          <w:szCs w:val="32"/>
        </w:rPr>
      </w:pPr>
    </w:p>
    <w:p w:rsidR="00C13F2E" w:rsidRDefault="00C13F2E">
      <w:pPr>
        <w:ind w:firstLineChars="200" w:firstLine="640"/>
        <w:jc w:val="center"/>
        <w:rPr>
          <w:rFonts w:ascii="黑体" w:eastAsia="黑体"/>
          <w:sz w:val="32"/>
          <w:szCs w:val="32"/>
        </w:rPr>
      </w:pPr>
    </w:p>
    <w:p w:rsidR="00C13F2E" w:rsidRDefault="00C13F2E">
      <w:pPr>
        <w:ind w:firstLineChars="200" w:firstLine="640"/>
        <w:jc w:val="center"/>
        <w:rPr>
          <w:rFonts w:ascii="黑体" w:eastAsia="黑体"/>
          <w:sz w:val="32"/>
          <w:szCs w:val="32"/>
        </w:rPr>
      </w:pPr>
    </w:p>
    <w:p w:rsidR="00C13F2E" w:rsidRDefault="009014BE">
      <w:pPr>
        <w:ind w:firstLineChars="200" w:firstLine="640"/>
        <w:jc w:val="center"/>
        <w:rPr>
          <w:rFonts w:ascii="黑体" w:eastAsia="黑体"/>
          <w:sz w:val="32"/>
          <w:szCs w:val="32"/>
        </w:rPr>
      </w:pPr>
      <w:r>
        <w:rPr>
          <w:rFonts w:ascii="黑体" w:eastAsia="黑体" w:hint="eastAsia"/>
          <w:sz w:val="32"/>
          <w:szCs w:val="32"/>
        </w:rPr>
        <w:t>第四部分  2023年度绩效评价情况</w:t>
      </w:r>
    </w:p>
    <w:p w:rsidR="00C13F2E" w:rsidRDefault="00C13F2E">
      <w:pPr>
        <w:ind w:firstLineChars="200" w:firstLine="560"/>
        <w:rPr>
          <w:rFonts w:ascii="黑体" w:eastAsia="黑体"/>
          <w:sz w:val="28"/>
          <w:szCs w:val="28"/>
          <w:highlight w:val="yellow"/>
        </w:rPr>
      </w:pPr>
    </w:p>
    <w:p w:rsidR="00C13F2E" w:rsidRDefault="009014BE">
      <w:p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r>
        <w:rPr>
          <w:rFonts w:ascii="黑体" w:eastAsia="黑体" w:hint="eastAsia"/>
          <w:sz w:val="28"/>
          <w:szCs w:val="28"/>
        </w:rPr>
        <w:t>（详见附件）</w:t>
      </w:r>
    </w:p>
    <w:p w:rsidR="00C13F2E" w:rsidRDefault="00C13F2E">
      <w:pPr>
        <w:pStyle w:val="2"/>
        <w:ind w:firstLine="560"/>
      </w:pPr>
    </w:p>
    <w:p w:rsidR="00C13F2E" w:rsidRDefault="00C13F2E"/>
    <w:p w:rsidR="00C13F2E" w:rsidRDefault="00C13F2E">
      <w:pPr>
        <w:pStyle w:val="2"/>
      </w:pPr>
    </w:p>
    <w:p w:rsidR="00C13F2E" w:rsidRDefault="00C13F2E"/>
    <w:sectPr w:rsidR="00C13F2E">
      <w:footerReference w:type="even" r:id="rId11"/>
      <w:footerReference w:type="default" r:id="rId12"/>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0FB" w:rsidRDefault="006350FB">
      <w:r>
        <w:separator/>
      </w:r>
    </w:p>
  </w:endnote>
  <w:endnote w:type="continuationSeparator" w:id="0">
    <w:p w:rsidR="006350FB" w:rsidRDefault="00635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仿宋">
    <w:altName w:val="方正仿宋_GBK"/>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F2E" w:rsidRDefault="009014BE">
    <w:pPr>
      <w:pStyle w:val="a7"/>
      <w:framePr w:wrap="around" w:vAnchor="text" w:hAnchor="margin" w:xAlign="center" w:y="1"/>
      <w:rPr>
        <w:rStyle w:val="ab"/>
      </w:rPr>
    </w:pPr>
    <w:r>
      <w:fldChar w:fldCharType="begin"/>
    </w:r>
    <w:r>
      <w:rPr>
        <w:rStyle w:val="ab"/>
      </w:rPr>
      <w:instrText xml:space="preserve">PAGE  </w:instrText>
    </w:r>
    <w:r>
      <w:fldChar w:fldCharType="separate"/>
    </w:r>
    <w:r w:rsidR="002C5298">
      <w:rPr>
        <w:rStyle w:val="ab"/>
        <w:noProof/>
      </w:rPr>
      <w:t>2</w:t>
    </w:r>
    <w:r>
      <w:fldChar w:fldCharType="end"/>
    </w:r>
  </w:p>
  <w:p w:rsidR="00C13F2E" w:rsidRDefault="00C13F2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F2E" w:rsidRDefault="009014BE">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C13F2E" w:rsidRDefault="00C13F2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F2E" w:rsidRDefault="009014BE">
    <w:pPr>
      <w:pStyle w:val="a7"/>
      <w:framePr w:wrap="around" w:vAnchor="text" w:hAnchor="margin" w:xAlign="center" w:y="1"/>
      <w:rPr>
        <w:rStyle w:val="ab"/>
      </w:rPr>
    </w:pPr>
    <w:r>
      <w:fldChar w:fldCharType="begin"/>
    </w:r>
    <w:r>
      <w:rPr>
        <w:rStyle w:val="ab"/>
      </w:rPr>
      <w:instrText xml:space="preserve">PAGE  </w:instrText>
    </w:r>
    <w:r>
      <w:fldChar w:fldCharType="separate"/>
    </w:r>
    <w:r w:rsidR="00FE405C">
      <w:rPr>
        <w:rStyle w:val="ab"/>
        <w:noProof/>
      </w:rPr>
      <w:t>9</w:t>
    </w:r>
    <w:r>
      <w:fldChar w:fldCharType="end"/>
    </w:r>
  </w:p>
  <w:p w:rsidR="00C13F2E" w:rsidRDefault="00C13F2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0FB" w:rsidRDefault="006350FB">
      <w:r>
        <w:separator/>
      </w:r>
    </w:p>
  </w:footnote>
  <w:footnote w:type="continuationSeparator" w:id="0">
    <w:p w:rsidR="006350FB" w:rsidRDefault="006350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MDlmODM4NDM3ZTUzZTJhOWRjZWIxNmVkMjQxNTM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6BFF1A6"/>
    <w:rsid w:val="F7F709E9"/>
    <w:rsid w:val="F7F9F231"/>
    <w:rsid w:val="F7FF3690"/>
    <w:rsid w:val="F9BD3900"/>
    <w:rsid w:val="FC8B9876"/>
    <w:rsid w:val="FEDFF218"/>
    <w:rsid w:val="FEDFFFFF"/>
    <w:rsid w:val="FFF54818"/>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C5298"/>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50FB"/>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14BE"/>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1885"/>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13F2E"/>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C7931"/>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27E2"/>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405C"/>
    <w:rsid w:val="00FE6A2B"/>
    <w:rsid w:val="00FF0275"/>
    <w:rsid w:val="00FF07B3"/>
    <w:rsid w:val="00FF1E37"/>
    <w:rsid w:val="079004AC"/>
    <w:rsid w:val="0F8E2C57"/>
    <w:rsid w:val="1059665E"/>
    <w:rsid w:val="10AC13BA"/>
    <w:rsid w:val="1AEC0734"/>
    <w:rsid w:val="1DEF20B0"/>
    <w:rsid w:val="214243FA"/>
    <w:rsid w:val="21AD613C"/>
    <w:rsid w:val="257A14F5"/>
    <w:rsid w:val="27196C26"/>
    <w:rsid w:val="29EF086F"/>
    <w:rsid w:val="2EFFE297"/>
    <w:rsid w:val="301437CA"/>
    <w:rsid w:val="34DD0473"/>
    <w:rsid w:val="433E495C"/>
    <w:rsid w:val="4AC27CB3"/>
    <w:rsid w:val="4BF72BEF"/>
    <w:rsid w:val="4FFB27DE"/>
    <w:rsid w:val="51DB3C59"/>
    <w:rsid w:val="53B87D86"/>
    <w:rsid w:val="55762E42"/>
    <w:rsid w:val="57A7B272"/>
    <w:rsid w:val="58470068"/>
    <w:rsid w:val="5A1720F9"/>
    <w:rsid w:val="5B9C37C2"/>
    <w:rsid w:val="5BA7C654"/>
    <w:rsid w:val="64C0607C"/>
    <w:rsid w:val="676F09E1"/>
    <w:rsid w:val="7A7F1C49"/>
    <w:rsid w:val="7B5B7AE6"/>
    <w:rsid w:val="7BA7071E"/>
    <w:rsid w:val="7BDF6DA8"/>
    <w:rsid w:val="7C7EDC1A"/>
    <w:rsid w:val="7CCED98D"/>
    <w:rsid w:val="7CEEBD5A"/>
    <w:rsid w:val="7D08410F"/>
    <w:rsid w:val="7D58240F"/>
    <w:rsid w:val="7DB96DED"/>
    <w:rsid w:val="7DD3AD81"/>
    <w:rsid w:val="7ED20BD7"/>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b="1"/>
              <a:t>收入决算</a:t>
            </a:r>
          </a:p>
        </c:rich>
      </c:tx>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Lbls>
            <c:dLbl>
              <c:idx val="1"/>
              <c:delete val="1"/>
            </c:dLbl>
            <c:dLbl>
              <c:idx val="2"/>
              <c:delete val="1"/>
            </c:dLbl>
            <c:dLbl>
              <c:idx val="3"/>
              <c:delete val="1"/>
            </c:dLbl>
            <c:dLbl>
              <c:idx val="4"/>
              <c:delete val="1"/>
            </c:dLbl>
            <c:dLbl>
              <c:idx val="5"/>
              <c:layout>
                <c:manualLayout>
                  <c:x val="2.3554746256249599E-2"/>
                  <c:y val="0.1574058268544880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[工作簿1]Sheet1!$C$15:$C$20</c:f>
              <c:strCache>
                <c:ptCount val="6"/>
                <c:pt idx="0">
                  <c:v>财政拨款收入</c:v>
                </c:pt>
                <c:pt idx="1">
                  <c:v>上级补助收入</c:v>
                </c:pt>
                <c:pt idx="2">
                  <c:v>事业收入</c:v>
                </c:pt>
                <c:pt idx="3">
                  <c:v>经营收入</c:v>
                </c:pt>
                <c:pt idx="4">
                  <c:v>附属单位上缴收入</c:v>
                </c:pt>
                <c:pt idx="5">
                  <c:v>其他收入</c:v>
                </c:pt>
              </c:strCache>
            </c:strRef>
          </c:cat>
          <c:val>
            <c:numRef>
              <c:f>[工作簿1]Sheet1!$D$15:$D$20</c:f>
              <c:numCache>
                <c:formatCode>General</c:formatCode>
                <c:ptCount val="6"/>
                <c:pt idx="0" formatCode="0.00%">
                  <c:v>0.9879</c:v>
                </c:pt>
                <c:pt idx="1">
                  <c:v>0</c:v>
                </c:pt>
                <c:pt idx="2">
                  <c:v>0</c:v>
                </c:pt>
                <c:pt idx="3">
                  <c:v>0</c:v>
                </c:pt>
                <c:pt idx="4">
                  <c:v>0</c:v>
                </c:pt>
                <c:pt idx="5" formatCode="0.00%">
                  <c:v>1.21E-2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bg1">
                    <a:lumMod val="50000"/>
                  </a:schemeClr>
                </a:solidFill>
                <a:latin typeface="+mn-lt"/>
                <a:ea typeface="+mn-ea"/>
                <a:cs typeface="+mn-cs"/>
              </a:defRPr>
            </a:pPr>
            <a:r>
              <a:rPr lang="zh-CN" altLang="en-US">
                <a:solidFill>
                  <a:schemeClr val="bg1">
                    <a:lumMod val="50000"/>
                  </a:schemeClr>
                </a:solidFill>
              </a:rPr>
              <a:t>支出决算</a:t>
            </a:r>
          </a:p>
        </c:rich>
      </c:tx>
      <c:overlay val="0"/>
      <c:spPr>
        <a:noFill/>
        <a:ln>
          <a:noFill/>
        </a:ln>
        <a:effectLst/>
      </c:spPr>
    </c:title>
    <c:autoTitleDeleted val="0"/>
    <c:plotArea>
      <c:layout/>
      <c:pieChart>
        <c:varyColors val="1"/>
        <c:ser>
          <c:idx val="0"/>
          <c:order val="0"/>
          <c:tx>
            <c:strRef>
              <c:f>Sheet0!$B$1</c:f>
              <c:strCache>
                <c:ptCount val="1"/>
                <c:pt idx="0">
                  <c:v>支出</c:v>
                </c:pt>
              </c:strCache>
            </c:strRef>
          </c:tx>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0"/>
              <c:layout>
                <c:manualLayout>
                  <c:x val="-2.6894138232720901E-3"/>
                  <c:y val="2.5955088947214899E-3"/>
                </c:manualLayout>
              </c:layout>
              <c:tx>
                <c:rich>
                  <a:bodyPr/>
                  <a:lstStyle/>
                  <a:p>
                    <a:r>
                      <a:rPr lang="en-US" altLang="zh-CN"/>
                      <a:t>44.04%</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8.2449693788276598E-3"/>
                  <c:y val="-2.1114027413239998E-2"/>
                </c:manualLayout>
              </c:layout>
              <c:tx>
                <c:rich>
                  <a:bodyPr/>
                  <a:lstStyle/>
                  <a:p>
                    <a:r>
                      <a:rPr lang="en-US" altLang="zh-CN"/>
                      <a:t>55.96%</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delete val="1"/>
            </c:dLbl>
            <c:dLbl>
              <c:idx val="3"/>
              <c:delete val="1"/>
            </c:dLbl>
            <c:dLbl>
              <c:idx val="4"/>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endParaRPr lang="zh-CN"/>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2428.64</c:v>
                </c:pt>
                <c:pt idx="1">
                  <c:v>3085.65</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endParaRPr lang="zh-CN"/>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549</Words>
  <Characters>3131</Characters>
  <Application>Microsoft Office Word</Application>
  <DocSecurity>0</DocSecurity>
  <Lines>26</Lines>
  <Paragraphs>7</Paragraphs>
  <ScaleCrop>false</ScaleCrop>
  <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首都精神文明建设委员会办公室</cp:lastModifiedBy>
  <cp:revision>27</cp:revision>
  <cp:lastPrinted>2020-08-07T19:39:00Z</cp:lastPrinted>
  <dcterms:created xsi:type="dcterms:W3CDTF">2017-07-11T23:16:00Z</dcterms:created>
  <dcterms:modified xsi:type="dcterms:W3CDTF">2024-09-06T06:48:00Z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8C65E35145E744878FAB442E6AE25B5D_13</vt:lpwstr>
  </property>
</Properties>
</file>