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267" w:rsidRDefault="008D3F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北京市宣传思想文化人才发展中心</w:t>
      </w:r>
    </w:p>
    <w:p w:rsidR="00F83267" w:rsidRPr="00A22AB2" w:rsidRDefault="008D3F7F" w:rsidP="00A22AB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rsidR="00F83267" w:rsidRDefault="008D3F7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83267" w:rsidRDefault="008D3F7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F83267" w:rsidRDefault="008D3F7F">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F83267" w:rsidRDefault="008D3F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F83267" w:rsidRDefault="008D3F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F83267" w:rsidRDefault="008D3F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F83267" w:rsidRDefault="008D3F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F83267" w:rsidRDefault="008D3F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F83267" w:rsidRDefault="008D3F7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F83267" w:rsidRDefault="008D3F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F83267" w:rsidRDefault="008D3F7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F83267" w:rsidRDefault="008D3F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F83267" w:rsidRDefault="008D3F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F83267" w:rsidRDefault="008D3F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F83267" w:rsidRDefault="008D3F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F83267" w:rsidRDefault="008D3F7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F83267" w:rsidRDefault="008D3F7F">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F83267" w:rsidRDefault="008D3F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F83267" w:rsidRDefault="008D3F7F">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F83267" w:rsidRDefault="008D3F7F">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F83267" w:rsidRDefault="008D3F7F">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F83267" w:rsidRDefault="008D3F7F" w:rsidP="00AB3FF9">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F83267" w:rsidRDefault="008D3F7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F83267" w:rsidRPr="004975BC" w:rsidRDefault="00F83267">
      <w:pPr>
        <w:spacing w:line="560" w:lineRule="exact"/>
        <w:ind w:firstLineChars="200" w:firstLine="640"/>
        <w:rPr>
          <w:rFonts w:ascii="黑体" w:eastAsia="黑体"/>
          <w:color w:val="000000"/>
          <w:sz w:val="32"/>
          <w:szCs w:val="32"/>
        </w:rPr>
      </w:pPr>
    </w:p>
    <w:p w:rsidR="00F83267" w:rsidRDefault="008D3F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F83267" w:rsidRDefault="008D3F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F83267" w:rsidRDefault="008D3F7F">
      <w:pPr>
        <w:ind w:firstLine="555"/>
        <w:rPr>
          <w:rFonts w:ascii="仿宋_GB2312" w:eastAsia="仿宋_GB2312"/>
          <w:sz w:val="32"/>
          <w:szCs w:val="32"/>
        </w:rPr>
      </w:pPr>
      <w:r>
        <w:rPr>
          <w:rFonts w:ascii="仿宋_GB2312" w:eastAsia="仿宋_GB2312" w:hint="eastAsia"/>
          <w:sz w:val="32"/>
          <w:szCs w:val="32"/>
        </w:rPr>
        <w:t>根据中共北京市委机构编制委员会（京编委【2021】146号）批复，组建北京市宣传思想文化人才发展中心，为中共北京市委宣传部所属公益一类事业单位。主要职责是承担本市宣传思想文化人才队伍建设和有关财政专项资金管理的事务性工作。</w:t>
      </w:r>
    </w:p>
    <w:p w:rsidR="00F83267" w:rsidRDefault="008D3F7F">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北京市宣传思想文化人才发展中心下设五个科室，分别是综合管理科、基金管理科、教育培训科、人才促进科、人力资源服务科。无下属单位。</w:t>
      </w:r>
    </w:p>
    <w:p w:rsidR="00F83267" w:rsidRDefault="008D3F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F83267" w:rsidRDefault="008D3F7F">
      <w:pPr>
        <w:ind w:firstLineChars="200" w:firstLine="640"/>
        <w:rPr>
          <w:rFonts w:ascii="仿宋_GB2312" w:eastAsia="仿宋_GB2312"/>
          <w:sz w:val="32"/>
          <w:szCs w:val="32"/>
        </w:rPr>
      </w:pPr>
      <w:r>
        <w:rPr>
          <w:rFonts w:ascii="仿宋_GB2312" w:eastAsia="仿宋_GB2312" w:hint="eastAsia"/>
          <w:sz w:val="32"/>
          <w:szCs w:val="32"/>
        </w:rPr>
        <w:t>北京市宣传思想文化人才发展中心</w:t>
      </w:r>
      <w:r>
        <w:rPr>
          <w:rFonts w:ascii="仿宋_GB2312" w:eastAsia="仿宋_GB2312" w:hint="eastAsia"/>
          <w:color w:val="000000"/>
          <w:sz w:val="32"/>
          <w:szCs w:val="32"/>
        </w:rPr>
        <w:t>事业编制25人，实有人数17人；</w:t>
      </w:r>
      <w:r>
        <w:rPr>
          <w:rFonts w:ascii="仿宋_GB2312" w:eastAsia="仿宋_GB2312" w:hint="eastAsia"/>
          <w:sz w:val="32"/>
          <w:szCs w:val="32"/>
        </w:rPr>
        <w:t>离退休人员3人，其中：离休0人，退休3人。</w:t>
      </w:r>
    </w:p>
    <w:p w:rsidR="00F83267" w:rsidRDefault="008D3F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2023年度收入预算25601.20万元，比2022年年初预算数25376.13万元增加225.07万元，增长0.89%。</w:t>
      </w:r>
      <w:r w:rsidRPr="004975BC">
        <w:rPr>
          <w:rFonts w:ascii="仿宋_GB2312" w:eastAsia="仿宋_GB2312" w:hint="eastAsia"/>
          <w:sz w:val="32"/>
          <w:szCs w:val="32"/>
        </w:rPr>
        <w:t>增长原因：编制内实有人员数量较上年增加，人员经费相应增加。</w:t>
      </w:r>
    </w:p>
    <w:p w:rsidR="00F83267" w:rsidRDefault="008D3F7F">
      <w:pPr>
        <w:spacing w:line="560" w:lineRule="exact"/>
        <w:ind w:firstLineChars="200" w:firstLine="640"/>
        <w:rPr>
          <w:rFonts w:ascii="楷体_GB2312" w:eastAsia="楷体_GB2312"/>
          <w:color w:val="0000FF"/>
          <w:sz w:val="32"/>
          <w:szCs w:val="32"/>
        </w:rPr>
      </w:pPr>
      <w:r>
        <w:rPr>
          <w:rFonts w:ascii="楷体_GB2312" w:eastAsia="楷体_GB2312" w:hint="eastAsia"/>
          <w:sz w:val="32"/>
          <w:szCs w:val="32"/>
        </w:rPr>
        <w:t>（一）本年财政拨款收入</w:t>
      </w:r>
      <w:r>
        <w:rPr>
          <w:rFonts w:ascii="仿宋_GB2312" w:eastAsia="仿宋_GB2312" w:hint="eastAsia"/>
          <w:sz w:val="32"/>
          <w:szCs w:val="32"/>
        </w:rPr>
        <w:t>25554.70</w:t>
      </w:r>
      <w:r>
        <w:rPr>
          <w:rFonts w:ascii="楷体_GB2312" w:eastAsia="楷体_GB2312" w:hint="eastAsia"/>
          <w:sz w:val="32"/>
          <w:szCs w:val="32"/>
        </w:rPr>
        <w:t>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1.一般公共预算拨款收入25554.70万元。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3.国有资本经营预算拨款收入0万元。</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hint="eastAsia"/>
          <w:sz w:val="32"/>
          <w:szCs w:val="32"/>
        </w:rPr>
        <w:t>46.50</w:t>
      </w:r>
      <w:r>
        <w:rPr>
          <w:rFonts w:ascii="楷体_GB2312" w:eastAsia="楷体_GB2312" w:hint="eastAsia"/>
          <w:sz w:val="32"/>
          <w:szCs w:val="32"/>
        </w:rPr>
        <w:t>万元</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10.上年结转结余46.50万元。</w:t>
      </w:r>
    </w:p>
    <w:p w:rsidR="00F83267" w:rsidRDefault="008D3F7F">
      <w:pPr>
        <w:pStyle w:val="2"/>
        <w:jc w:val="center"/>
      </w:pPr>
      <w:r>
        <w:rPr>
          <w:rFonts w:ascii="仿宋_GB2312" w:eastAsia="仿宋_GB2312" w:hint="eastAsia"/>
          <w:sz w:val="32"/>
        </w:rPr>
        <w:t>图1：收入预算</w:t>
      </w:r>
    </w:p>
    <w:p w:rsidR="00F83267" w:rsidRDefault="008D3F7F">
      <w:r>
        <w:rPr>
          <w:rFonts w:hint="eastAsia"/>
          <w:noProof/>
        </w:rPr>
        <w:drawing>
          <wp:inline distT="0" distB="0" distL="114300" distR="114300">
            <wp:extent cx="5279390" cy="3524250"/>
            <wp:effectExtent l="4445" t="4445" r="1206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83267" w:rsidRDefault="008D3F7F">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2023年支出预算25601.20万元，比2022年年初预算数</w:t>
      </w:r>
      <w:r>
        <w:rPr>
          <w:rFonts w:ascii="仿宋_GB2312" w:eastAsia="仿宋_GB2312" w:hint="eastAsia"/>
          <w:sz w:val="32"/>
          <w:szCs w:val="32"/>
        </w:rPr>
        <w:lastRenderedPageBreak/>
        <w:t>25376.13万元增加225.07万元，增长0.89%。主要原因是：</w:t>
      </w:r>
      <w:r w:rsidRPr="004975BC">
        <w:rPr>
          <w:rFonts w:ascii="仿宋_GB2312" w:eastAsia="仿宋_GB2312" w:hint="eastAsia"/>
          <w:sz w:val="32"/>
          <w:szCs w:val="32"/>
        </w:rPr>
        <w:t>编制内实有人员数量较上年增加，</w:t>
      </w:r>
      <w:r w:rsidR="004975BC">
        <w:rPr>
          <w:rFonts w:ascii="仿宋_GB2312" w:eastAsia="仿宋_GB2312" w:hint="eastAsia"/>
          <w:sz w:val="32"/>
          <w:szCs w:val="32"/>
        </w:rPr>
        <w:t>人员经费</w:t>
      </w:r>
      <w:r w:rsidRPr="004975BC">
        <w:rPr>
          <w:rFonts w:ascii="仿宋_GB2312" w:eastAsia="仿宋_GB2312" w:hint="eastAsia"/>
          <w:sz w:val="32"/>
          <w:szCs w:val="32"/>
        </w:rPr>
        <w:t>相应增加。</w:t>
      </w:r>
    </w:p>
    <w:p w:rsidR="00F83267" w:rsidRDefault="004975BC">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008D3F7F">
        <w:rPr>
          <w:rFonts w:ascii="楷体_GB2312" w:eastAsia="楷体_GB2312" w:hAnsi="楷体_GB2312" w:cs="楷体_GB2312" w:hint="eastAsia"/>
          <w:sz w:val="32"/>
          <w:szCs w:val="32"/>
        </w:rPr>
        <w:t>基本支出。</w:t>
      </w:r>
      <w:r w:rsidR="008D3F7F">
        <w:rPr>
          <w:rFonts w:ascii="仿宋_GB2312" w:eastAsia="仿宋_GB2312" w:hint="eastAsia"/>
          <w:sz w:val="32"/>
          <w:szCs w:val="32"/>
        </w:rPr>
        <w:t>基本支出预算1010.10万元，占总支出预算3.95%，比2022年年初预算数846.56万元增加163.54万元，增长19.32%。</w:t>
      </w:r>
    </w:p>
    <w:p w:rsidR="00F83267" w:rsidRDefault="008D3F7F">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项目支出预算24591.10万元，比2022年年初预算数24529.57万元增加61.53万元，增长0.25%。其中：</w:t>
      </w:r>
    </w:p>
    <w:p w:rsidR="00F83267" w:rsidRDefault="008D3F7F">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rsidR="00F83267" w:rsidRDefault="008D3F7F">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rsidR="00F83267" w:rsidRDefault="008D3F7F">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rsidR="00F83267" w:rsidRDefault="008D3F7F">
      <w:pPr>
        <w:pStyle w:val="2"/>
        <w:ind w:firstLine="642"/>
        <w:jc w:val="center"/>
      </w:pPr>
      <w:r>
        <w:rPr>
          <w:rFonts w:ascii="仿宋_GB2312" w:eastAsia="仿宋_GB2312" w:hint="eastAsia"/>
          <w:sz w:val="32"/>
        </w:rPr>
        <w:t>图2：基本支出和项目支出情况</w:t>
      </w:r>
    </w:p>
    <w:p w:rsidR="00F83267" w:rsidRDefault="008D3F7F">
      <w:r>
        <w:rPr>
          <w:rFonts w:hint="eastAsia"/>
          <w:noProof/>
        </w:rPr>
        <w:drawing>
          <wp:inline distT="0" distB="0" distL="114300" distR="114300">
            <wp:extent cx="5174615" cy="2336165"/>
            <wp:effectExtent l="4445" t="4445" r="21590" b="2159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83267" w:rsidRDefault="008D3F7F">
      <w:pPr>
        <w:numPr>
          <w:ilvl w:val="0"/>
          <w:numId w:val="2"/>
        </w:numPr>
        <w:spacing w:line="560" w:lineRule="exact"/>
        <w:ind w:firstLineChars="200" w:firstLine="640"/>
        <w:rPr>
          <w:rFonts w:ascii="黑体" w:eastAsia="黑体"/>
          <w:sz w:val="32"/>
          <w:szCs w:val="32"/>
        </w:rPr>
      </w:pPr>
      <w:r>
        <w:rPr>
          <w:rFonts w:ascii="黑体" w:eastAsia="黑体" w:hint="eastAsia"/>
          <w:sz w:val="32"/>
          <w:szCs w:val="32"/>
        </w:rPr>
        <w:t>财政拨款“三公”经费预算情况说明</w:t>
      </w:r>
    </w:p>
    <w:p w:rsidR="00F83267" w:rsidRPr="00E303E8" w:rsidRDefault="008D3F7F">
      <w:pPr>
        <w:spacing w:line="560" w:lineRule="exact"/>
        <w:ind w:firstLineChars="200" w:firstLine="640"/>
        <w:rPr>
          <w:rFonts w:ascii="仿宋_GB2312" w:eastAsia="仿宋_GB2312"/>
          <w:sz w:val="32"/>
          <w:szCs w:val="32"/>
        </w:rPr>
      </w:pPr>
      <w:r w:rsidRPr="00E303E8">
        <w:rPr>
          <w:rFonts w:ascii="仿宋_GB2312" w:eastAsia="仿宋_GB2312" w:hint="eastAsia"/>
          <w:sz w:val="32"/>
          <w:szCs w:val="32"/>
        </w:rPr>
        <w:t>本单位2023年无财政拨款安排的“三公”经费预算。</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北京市宣传思想文化人才发展中心因公出国（境）费用、公务接待费、公务用车购置和运行维护费开支单位包括</w:t>
      </w:r>
      <w:r w:rsidR="000E37AA">
        <w:rPr>
          <w:rFonts w:ascii="仿宋_GB2312" w:eastAsia="仿宋_GB2312" w:hint="eastAsia"/>
          <w:sz w:val="32"/>
          <w:szCs w:val="32"/>
        </w:rPr>
        <w:t>本单</w:t>
      </w:r>
      <w:r w:rsidR="000E37AA">
        <w:rPr>
          <w:rFonts w:ascii="仿宋_GB2312" w:eastAsia="仿宋_GB2312" w:hint="eastAsia"/>
          <w:sz w:val="32"/>
          <w:szCs w:val="32"/>
        </w:rPr>
        <w:lastRenderedPageBreak/>
        <w:t>位</w:t>
      </w:r>
      <w:r>
        <w:rPr>
          <w:rFonts w:ascii="仿宋_GB2312" w:eastAsia="仿宋_GB2312" w:hint="eastAsia"/>
          <w:sz w:val="32"/>
          <w:szCs w:val="32"/>
        </w:rPr>
        <w:t>1个所属单位。</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2023年财政拨款“三公”经费预算0万元，比2022年财政拨款“三公”经费预算减少7.50万元。其中：</w:t>
      </w:r>
    </w:p>
    <w:p w:rsidR="00F83267" w:rsidRDefault="008D3F7F" w:rsidP="00436597">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1.因公出国（境）费用。2023年预算数0万元，与上年持平。</w:t>
      </w:r>
    </w:p>
    <w:p w:rsidR="00F83267" w:rsidRDefault="008D3F7F" w:rsidP="00436597">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2.公务接待费。2023年预算数0万元，与上年持平。</w:t>
      </w:r>
    </w:p>
    <w:p w:rsidR="00F83267" w:rsidRDefault="008D3F7F" w:rsidP="00436597">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0万元，其中，公务用车购置费2023年预算数0万元，与上年持平；公务用车运行维护费2023年预算数0万元。公务用车运行维护费2023年预算数比2022年年初预算数7.50万元减少7.50万元。主要原因：</w:t>
      </w:r>
      <w:r w:rsidRPr="004975BC">
        <w:rPr>
          <w:rFonts w:ascii="仿宋_GB2312" w:eastAsia="仿宋_GB2312" w:hint="eastAsia"/>
          <w:sz w:val="32"/>
          <w:szCs w:val="32"/>
        </w:rPr>
        <w:t>按规定进行车辆处置，2023年无公务用车。</w:t>
      </w:r>
    </w:p>
    <w:p w:rsidR="00F83267" w:rsidRDefault="008D3F7F">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bookmarkStart w:id="0" w:name="_GoBack"/>
      <w:bookmarkEnd w:id="0"/>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2023年北京市宣传思想文化人才发展中心政府采购预算总额625.50万元，其中：政府采购货物预算15万元，政府采购工程预算0万元，政府采购服务预算610.50万元。</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2023年北京市宣传思想文化人才发展中心政府购买服务预算总额0万元。</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2023年，北京市宣传思想文化人才发展中心填报绩效目标的预算项目4个，占本单位本年预算项目4个的100%。填报绩效目标的项目支出预算24591.10万元，占本单位本年项目支出预算的100%。</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F83267" w:rsidRDefault="008D3F7F">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rsidR="00F83267" w:rsidRDefault="008D3F7F">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rsidR="00F83267" w:rsidRDefault="008D3F7F">
      <w:pPr>
        <w:spacing w:line="560" w:lineRule="exact"/>
        <w:rPr>
          <w:rFonts w:ascii="楷体_GB2312" w:eastAsia="楷体_GB2312"/>
          <w:color w:val="000000"/>
          <w:sz w:val="32"/>
          <w:szCs w:val="32"/>
        </w:rPr>
      </w:pPr>
      <w:r>
        <w:rPr>
          <w:rFonts w:ascii="仿宋_GB2312" w:eastAsia="仿宋_GB2312" w:hint="eastAsia"/>
          <w:color w:val="000000"/>
          <w:sz w:val="32"/>
          <w:szCs w:val="32"/>
        </w:rPr>
        <w:t> </w:t>
      </w:r>
      <w:r>
        <w:rPr>
          <w:rFonts w:ascii="仿宋_GB2312" w:eastAsia="仿宋_GB2312" w:hint="eastAsia"/>
          <w:color w:val="000000"/>
          <w:sz w:val="32"/>
          <w:szCs w:val="32"/>
        </w:rPr>
        <w:t xml:space="preserve">   </w:t>
      </w:r>
      <w:r>
        <w:rPr>
          <w:rFonts w:ascii="楷体_GB2312" w:eastAsia="楷体_GB2312" w:hint="eastAsia"/>
          <w:color w:val="000000"/>
          <w:sz w:val="32"/>
          <w:szCs w:val="32"/>
        </w:rPr>
        <w:t>（七）国有资产占用情况说明</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Pr>
          <w:rFonts w:ascii="仿宋_GB2312" w:eastAsia="仿宋_GB2312" w:hint="eastAsia"/>
          <w:sz w:val="32"/>
          <w:szCs w:val="32"/>
        </w:rPr>
        <w:t>北京市宣传思想文化人才发展中心</w:t>
      </w:r>
      <w:r>
        <w:rPr>
          <w:rFonts w:ascii="仿宋_GB2312" w:eastAsia="仿宋_GB2312" w:hint="eastAsia"/>
          <w:color w:val="000000"/>
          <w:sz w:val="32"/>
          <w:szCs w:val="32"/>
        </w:rPr>
        <w:t>共有车辆0台，共计0万元；单位价值50万元以上的通用设备0台（套），共计0万元，单位价值100万元以上的专用设备0台（套）、共计0万元。</w:t>
      </w:r>
    </w:p>
    <w:p w:rsidR="00F83267" w:rsidRDefault="008D3F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w:t>
      </w:r>
      <w:r>
        <w:rPr>
          <w:rFonts w:ascii="仿宋_GB2312" w:eastAsia="仿宋_GB2312" w:hint="eastAsia"/>
          <w:color w:val="000000"/>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F83267" w:rsidRDefault="00F83267">
      <w:pPr>
        <w:spacing w:line="560" w:lineRule="exact"/>
        <w:jc w:val="center"/>
        <w:rPr>
          <w:rFonts w:ascii="方正小标宋简体" w:eastAsia="方正小标宋简体"/>
          <w:color w:val="000000"/>
          <w:sz w:val="36"/>
          <w:szCs w:val="36"/>
        </w:rPr>
      </w:pPr>
    </w:p>
    <w:p w:rsidR="00F83267" w:rsidRDefault="008D3F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F83267" w:rsidRDefault="00F83267">
      <w:pPr>
        <w:autoSpaceDE w:val="0"/>
        <w:autoSpaceDN w:val="0"/>
        <w:adjustRightInd w:val="0"/>
        <w:spacing w:line="560" w:lineRule="exact"/>
        <w:jc w:val="left"/>
        <w:rPr>
          <w:rFonts w:ascii="方正小标宋简体" w:eastAsia="方正小标宋简体"/>
          <w:color w:val="000000"/>
          <w:sz w:val="36"/>
          <w:szCs w:val="36"/>
        </w:rPr>
      </w:pPr>
    </w:p>
    <w:p w:rsidR="00F83267" w:rsidRDefault="008D3F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北京市宣传思想文化人才发展中心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F83267" w:rsidRDefault="00F83267"/>
    <w:sectPr w:rsidR="00F832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EF4" w:rsidRDefault="00E91EF4" w:rsidP="00A22AB2">
      <w:r>
        <w:separator/>
      </w:r>
    </w:p>
  </w:endnote>
  <w:endnote w:type="continuationSeparator" w:id="0">
    <w:p w:rsidR="00E91EF4" w:rsidRDefault="00E91EF4" w:rsidP="00A22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EF4" w:rsidRDefault="00E91EF4" w:rsidP="00A22AB2">
      <w:r>
        <w:separator/>
      </w:r>
    </w:p>
  </w:footnote>
  <w:footnote w:type="continuationSeparator" w:id="0">
    <w:p w:rsidR="00E91EF4" w:rsidRDefault="00E91EF4" w:rsidP="00A22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88710A"/>
    <w:multiLevelType w:val="singleLevel"/>
    <w:tmpl w:val="FD88710A"/>
    <w:lvl w:ilvl="0">
      <w:start w:val="2"/>
      <w:numFmt w:val="chineseCounting"/>
      <w:suff w:val="nothing"/>
      <w:lvlText w:val="（%1）"/>
      <w:lvlJc w:val="left"/>
      <w:rPr>
        <w:rFonts w:hint="eastAsia"/>
      </w:rPr>
    </w:lvl>
  </w:abstractNum>
  <w:abstractNum w:abstractNumId="1">
    <w:nsid w:val="566450D4"/>
    <w:multiLevelType w:val="singleLevel"/>
    <w:tmpl w:val="566450D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2NDE1ZDczZjMzYzVhM2JmMDQxMDM0MzBlZWNjODYifQ=="/>
  </w:docVars>
  <w:rsids>
    <w:rsidRoot w:val="00F8767E"/>
    <w:rsid w:val="00080ECA"/>
    <w:rsid w:val="000E37AA"/>
    <w:rsid w:val="00106185"/>
    <w:rsid w:val="00436597"/>
    <w:rsid w:val="004975BC"/>
    <w:rsid w:val="00626DE9"/>
    <w:rsid w:val="006A0B11"/>
    <w:rsid w:val="006C180E"/>
    <w:rsid w:val="008D3F7F"/>
    <w:rsid w:val="008D64F2"/>
    <w:rsid w:val="008F61E7"/>
    <w:rsid w:val="009A779C"/>
    <w:rsid w:val="00A227C5"/>
    <w:rsid w:val="00A22AB2"/>
    <w:rsid w:val="00AB3FF9"/>
    <w:rsid w:val="00CF2F62"/>
    <w:rsid w:val="00E303E8"/>
    <w:rsid w:val="00E91EF4"/>
    <w:rsid w:val="00F1244D"/>
    <w:rsid w:val="00F83267"/>
    <w:rsid w:val="00F8767E"/>
    <w:rsid w:val="019C26CF"/>
    <w:rsid w:val="01CD7F89"/>
    <w:rsid w:val="036156A5"/>
    <w:rsid w:val="03F40490"/>
    <w:rsid w:val="04912488"/>
    <w:rsid w:val="064F5CC5"/>
    <w:rsid w:val="0766444B"/>
    <w:rsid w:val="0A6A629A"/>
    <w:rsid w:val="0AB85DB3"/>
    <w:rsid w:val="0B91341C"/>
    <w:rsid w:val="0BDD5ED1"/>
    <w:rsid w:val="0CF5561A"/>
    <w:rsid w:val="0D625DFC"/>
    <w:rsid w:val="107F4121"/>
    <w:rsid w:val="11286567"/>
    <w:rsid w:val="120D3B20"/>
    <w:rsid w:val="12F90639"/>
    <w:rsid w:val="14817C14"/>
    <w:rsid w:val="18A12323"/>
    <w:rsid w:val="198729C4"/>
    <w:rsid w:val="19B644F0"/>
    <w:rsid w:val="1AC80305"/>
    <w:rsid w:val="1E3F2939"/>
    <w:rsid w:val="1E4C5F8A"/>
    <w:rsid w:val="1E6A3B55"/>
    <w:rsid w:val="20711CD8"/>
    <w:rsid w:val="20E879BE"/>
    <w:rsid w:val="212F0D11"/>
    <w:rsid w:val="21DF40A1"/>
    <w:rsid w:val="2341679A"/>
    <w:rsid w:val="24150BCD"/>
    <w:rsid w:val="241A61E3"/>
    <w:rsid w:val="249064A5"/>
    <w:rsid w:val="25A6350B"/>
    <w:rsid w:val="26681221"/>
    <w:rsid w:val="275856ED"/>
    <w:rsid w:val="2BC56300"/>
    <w:rsid w:val="2D1C2FCC"/>
    <w:rsid w:val="2E150545"/>
    <w:rsid w:val="30D95414"/>
    <w:rsid w:val="357F21C9"/>
    <w:rsid w:val="36370E76"/>
    <w:rsid w:val="366A6D9B"/>
    <w:rsid w:val="3DBF02BC"/>
    <w:rsid w:val="3E492E08"/>
    <w:rsid w:val="3EA31F0A"/>
    <w:rsid w:val="3F5C5A5B"/>
    <w:rsid w:val="4117188C"/>
    <w:rsid w:val="41D83760"/>
    <w:rsid w:val="42383FAC"/>
    <w:rsid w:val="424913EE"/>
    <w:rsid w:val="42E36970"/>
    <w:rsid w:val="432C7E81"/>
    <w:rsid w:val="46053443"/>
    <w:rsid w:val="4B2B6DA4"/>
    <w:rsid w:val="4B636AF4"/>
    <w:rsid w:val="4FDB09F3"/>
    <w:rsid w:val="50421B2B"/>
    <w:rsid w:val="517C45F8"/>
    <w:rsid w:val="526F57C8"/>
    <w:rsid w:val="52917C21"/>
    <w:rsid w:val="562356B7"/>
    <w:rsid w:val="57E36310"/>
    <w:rsid w:val="5818420C"/>
    <w:rsid w:val="58F509F1"/>
    <w:rsid w:val="593C469E"/>
    <w:rsid w:val="59DB3760"/>
    <w:rsid w:val="59FC3B91"/>
    <w:rsid w:val="5AA717A5"/>
    <w:rsid w:val="619F772F"/>
    <w:rsid w:val="61AD1E69"/>
    <w:rsid w:val="630C7132"/>
    <w:rsid w:val="63ED492C"/>
    <w:rsid w:val="651D5558"/>
    <w:rsid w:val="6550070E"/>
    <w:rsid w:val="659C3F63"/>
    <w:rsid w:val="662A598F"/>
    <w:rsid w:val="66C71B4A"/>
    <w:rsid w:val="67B45AFF"/>
    <w:rsid w:val="6C7D068A"/>
    <w:rsid w:val="6E864446"/>
    <w:rsid w:val="6F7B633C"/>
    <w:rsid w:val="70500165"/>
    <w:rsid w:val="711517D9"/>
    <w:rsid w:val="74157F65"/>
    <w:rsid w:val="747674B1"/>
    <w:rsid w:val="74AC5FB0"/>
    <w:rsid w:val="75383CE8"/>
    <w:rsid w:val="77AD24F4"/>
    <w:rsid w:val="797C2612"/>
    <w:rsid w:val="7A30685C"/>
    <w:rsid w:val="7D452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ln w="12700" cmpd="sng">
                  <a:noFill/>
                  <a:prstDash val="solid"/>
                </a:ln>
                <a:solidFill>
                  <a:schemeClr val="tx1">
                    <a:lumMod val="65000"/>
                    <a:lumOff val="35000"/>
                  </a:schemeClr>
                </a:solidFill>
                <a:latin typeface="+mn-lt"/>
                <a:ea typeface="+mn-ea"/>
                <a:cs typeface="+mn-cs"/>
              </a:defRPr>
            </a:pPr>
            <a:r>
              <a:rPr lang="zh-CN" altLang="en-US">
                <a:ln w="12700" cmpd="sng">
                  <a:noFill/>
                  <a:prstDash val="solid"/>
                </a:ln>
              </a:rPr>
              <a:t>收入预算</a:t>
            </a:r>
          </a:p>
        </c:rich>
      </c:tx>
      <c:overlay val="0"/>
      <c:spPr>
        <a:noFill/>
        <a:ln>
          <a:noFill/>
        </a:ln>
        <a:effectLst/>
      </c:spPr>
    </c:title>
    <c:autoTitleDeleted val="0"/>
    <c:plotArea>
      <c:layout/>
      <c:pieChart>
        <c:varyColors val="1"/>
        <c:ser>
          <c:idx val="0"/>
          <c:order val="0"/>
          <c:tx>
            <c:strRef>
              <c:f>Sheet1!$B$1</c:f>
              <c:strCache>
                <c:ptCount val="1"/>
                <c:pt idx="0">
                  <c:v>销售额</c:v>
                </c:pt>
              </c:strCache>
            </c:strRef>
          </c:tx>
          <c:spPr>
            <a:ln w="19050">
              <a:noFill/>
            </a:ln>
          </c:spPr>
          <c:dPt>
            <c:idx val="0"/>
            <c:bubble3D val="0"/>
            <c:spPr>
              <a:solidFill>
                <a:schemeClr val="accent1"/>
              </a:solidFill>
              <a:ln w="19050">
                <a:noFill/>
              </a:ln>
              <a:effectLst/>
            </c:spPr>
          </c:dPt>
          <c:dPt>
            <c:idx val="1"/>
            <c:bubble3D val="0"/>
            <c:spPr>
              <a:solidFill>
                <a:schemeClr val="accent2"/>
              </a:solidFill>
              <a:ln w="19050">
                <a:no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ln w="12700" cmpd="sng">
                      <a:noFill/>
                      <a:prstDash val="solid"/>
                    </a:ln>
                    <a:solidFill>
                      <a:schemeClr val="tx1">
                        <a:lumMod val="75000"/>
                        <a:lumOff val="25000"/>
                      </a:schemeClr>
                    </a:solidFill>
                    <a:latin typeface="+mn-lt"/>
                    <a:ea typeface="+mn-ea"/>
                    <a:cs typeface="+mn-cs"/>
                  </a:defRPr>
                </a:pPr>
                <a:endParaRPr lang="zh-CN"/>
              </a:p>
            </c:txPr>
            <c:dLblPos val="outEnd"/>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(Sheet1!$A$2,Sheet1!$A$11)</c:f>
              <c:strCache>
                <c:ptCount val="2"/>
                <c:pt idx="0">
                  <c:v>一般公共预算拨款收入</c:v>
                </c:pt>
                <c:pt idx="1">
                  <c:v>上年结转结余</c:v>
                </c:pt>
              </c:strCache>
              <c:extLst>
                <c:ext xmlns:c15="http://schemas.microsoft.com/office/drawing/2012/chart" uri="{02D57815-91ED-43cb-92C2-25804820EDAC}">
                  <c15:fullRef>
                    <c15:sqref>Sheet1!$A$2:$A$11</c15:sqref>
                  </c15:fullRef>
                </c:ext>
              </c:extLst>
            </c:strRef>
          </c:cat>
          <c:val>
            <c:numRef>
              <c:f>(Sheet1!$B$2,Sheet1!$B$11)</c:f>
              <c:numCache>
                <c:formatCode>General</c:formatCode>
                <c:ptCount val="2"/>
                <c:pt idx="0">
                  <c:v>25554.7</c:v>
                </c:pt>
                <c:pt idx="1">
                  <c:v>46.5</c:v>
                </c:pt>
              </c:numCache>
              <c:extLst>
                <c:ext xmlns:c15="http://schemas.microsoft.com/office/drawing/2012/chart" uri="{02D57815-91ED-43cb-92C2-25804820EDAC}">
                  <c15:fullRef>
                    <c15:sqref>Sheet1!$B$2:$B$11</c15:sqref>
                  </c15:fullRef>
                </c:ext>
              </c:extLst>
            </c:numRef>
          </c:val>
        </c:ser>
        <c:dLbls>
          <c:showLegendKey val="0"/>
          <c:showVal val="0"/>
          <c:showCatName val="0"/>
          <c:showSerName val="0"/>
          <c:showPercent val="1"/>
          <c:showBubbleSize val="0"/>
          <c:showLeaderLines val="0"/>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ln w="12700" cmpd="sng">
                  <a:noFill/>
                  <a:prstDash val="solid"/>
                </a:ln>
                <a:solidFill>
                  <a:schemeClr val="tx1">
                    <a:lumMod val="65000"/>
                    <a:lumOff val="35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ln w="12700" cmpd="sng">
                  <a:noFill/>
                  <a:prstDash val="solid"/>
                </a:ln>
                <a:solidFill>
                  <a:schemeClr val="tx1">
                    <a:lumMod val="65000"/>
                    <a:lumOff val="35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ln w="12700" cmpd="sng">
                <a:noFill/>
                <a:prstDash val="solid"/>
              </a:ln>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ln w="12700" cmpd="sng">
            <a:noFill/>
            <a:prstDash val="solid"/>
          </a:ln>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a:ln w="19050">
              <a:noFill/>
            </a:ln>
          </c:spPr>
          <c:dPt>
            <c:idx val="0"/>
            <c:bubble3D val="0"/>
            <c:spPr>
              <a:solidFill>
                <a:schemeClr val="accent1"/>
              </a:solidFill>
              <a:ln w="19050">
                <a:noFill/>
              </a:ln>
              <a:effectLst/>
            </c:spPr>
          </c:dPt>
          <c:dPt>
            <c:idx val="1"/>
            <c:bubble3D val="0"/>
            <c:spPr>
              <a:solidFill>
                <a:schemeClr val="accent2"/>
              </a:solidFill>
              <a:ln w="19050">
                <a:no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extLst>
                <c:ext xmlns:c15="http://schemas.microsoft.com/office/drawing/2012/chart" uri="{02D57815-91ED-43cb-92C2-25804820EDAC}">
                  <c15:fullRef>
                    <c15:sqref>Sheet1!$A$2:$A$5</c15:sqref>
                  </c15:fullRef>
                </c:ext>
              </c:extLst>
            </c:strRef>
          </c:cat>
          <c:val>
            <c:numRef>
              <c:f>Sheet1!$B$2:$B$3</c:f>
              <c:numCache>
                <c:formatCode>General</c:formatCode>
                <c:ptCount val="2"/>
                <c:pt idx="0">
                  <c:v>1010.1</c:v>
                </c:pt>
                <c:pt idx="1">
                  <c:v>24591.1</c:v>
                </c:pt>
              </c:numCache>
              <c:extLst>
                <c:ext xmlns:c15="http://schemas.microsoft.com/office/drawing/2012/chart" uri="{02D57815-91ED-43cb-92C2-25804820EDAC}">
                  <c15:fullRef>
                    <c15:sqref>Sheet1!$B$2:$B$5</c15:sqref>
                  </c15:fullRef>
                </c:ext>
              </c:extLst>
            </c:numRef>
          </c:val>
        </c:ser>
        <c:dLbls>
          <c:showLegendKey val="0"/>
          <c:showVal val="0"/>
          <c:showCatName val="0"/>
          <c:showSerName val="0"/>
          <c:showPercent val="1"/>
          <c:showBubbleSize val="0"/>
          <c:showLeaderLines val="0"/>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首都精神文明建设委员会办公室</dc:creator>
  <cp:lastModifiedBy>首都精神文明建设委员会办公室</cp:lastModifiedBy>
  <cp:revision>11</cp:revision>
  <cp:lastPrinted>2023-02-24T10:55:00Z</cp:lastPrinted>
  <dcterms:created xsi:type="dcterms:W3CDTF">2023-02-14T07:04:00Z</dcterms:created>
  <dcterms:modified xsi:type="dcterms:W3CDTF">2023-02-27T02:34:00Z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D5C5A0E9549E45E3B2C187E610E435DE</vt:lpwstr>
  </property>
</Properties>
</file>